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230F" w14:textId="3E2720BD" w:rsidR="00995226" w:rsidRPr="00D16C29" w:rsidRDefault="00000000" w:rsidP="00995226">
      <w:pPr>
        <w:spacing w:after="0" w:line="276"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 xml:space="preserve">On </w:t>
      </w:r>
      <w:r w:rsidR="002662CC" w:rsidRPr="00D16C29">
        <w:rPr>
          <w:rFonts w:ascii="Times New Roman" w:hAnsi="Times New Roman" w:cs="Times New Roman"/>
          <w:color w:val="000000" w:themeColor="text1"/>
          <w:sz w:val="24"/>
          <w:szCs w:val="24"/>
        </w:rPr>
        <w:t>September 29</w:t>
      </w:r>
      <w:r w:rsidR="002662CC" w:rsidRPr="00D16C29">
        <w:rPr>
          <w:rFonts w:ascii="Times New Roman" w:hAnsi="Times New Roman" w:cs="Times New Roman"/>
          <w:color w:val="000000" w:themeColor="text1"/>
          <w:sz w:val="24"/>
          <w:szCs w:val="24"/>
          <w:vertAlign w:val="superscript"/>
        </w:rPr>
        <w:t>th</w:t>
      </w:r>
      <w:r w:rsidR="00B04292" w:rsidRPr="00D16C29">
        <w:rPr>
          <w:rFonts w:ascii="Times New Roman" w:hAnsi="Times New Roman" w:cs="Times New Roman"/>
          <w:color w:val="000000" w:themeColor="text1"/>
          <w:sz w:val="24"/>
          <w:szCs w:val="24"/>
        </w:rPr>
        <w:t>, 202</w:t>
      </w:r>
      <w:r w:rsidR="002662CC" w:rsidRPr="00D16C29">
        <w:rPr>
          <w:rFonts w:ascii="Times New Roman" w:hAnsi="Times New Roman" w:cs="Times New Roman"/>
          <w:color w:val="000000" w:themeColor="text1"/>
          <w:sz w:val="24"/>
          <w:szCs w:val="24"/>
        </w:rPr>
        <w:t>5</w:t>
      </w:r>
      <w:r w:rsidR="00B04292" w:rsidRPr="00D16C29">
        <w:rPr>
          <w:rFonts w:ascii="Times New Roman" w:hAnsi="Times New Roman" w:cs="Times New Roman"/>
          <w:color w:val="000000" w:themeColor="text1"/>
          <w:sz w:val="24"/>
          <w:szCs w:val="24"/>
        </w:rPr>
        <w:t>,</w:t>
      </w:r>
      <w:r w:rsidRPr="00D16C29">
        <w:rPr>
          <w:rFonts w:ascii="Times New Roman" w:hAnsi="Times New Roman" w:cs="Times New Roman"/>
          <w:color w:val="000000" w:themeColor="text1"/>
          <w:sz w:val="24"/>
          <w:szCs w:val="24"/>
        </w:rPr>
        <w:t xml:space="preserve"> an application for tax abatement was submitted to the Municipal Clerk by </w:t>
      </w:r>
      <w:r w:rsidR="002662CC" w:rsidRPr="00D16C29">
        <w:rPr>
          <w:rFonts w:ascii="Times New Roman" w:hAnsi="Times New Roman" w:cs="Times New Roman"/>
          <w:color w:val="000000" w:themeColor="text1"/>
          <w:sz w:val="24"/>
          <w:szCs w:val="24"/>
        </w:rPr>
        <w:t>Jonathan and Lenore Benoit</w:t>
      </w:r>
      <w:r w:rsidRPr="00D16C29">
        <w:rPr>
          <w:rFonts w:ascii="Times New Roman" w:hAnsi="Times New Roman" w:cs="Times New Roman"/>
          <w:color w:val="000000" w:themeColor="text1"/>
          <w:sz w:val="24"/>
          <w:szCs w:val="24"/>
        </w:rPr>
        <w:t xml:space="preserve">, regarding property located </w:t>
      </w:r>
      <w:r w:rsidR="00B43458">
        <w:rPr>
          <w:rFonts w:ascii="Times New Roman" w:hAnsi="Times New Roman" w:cs="Times New Roman"/>
          <w:color w:val="000000" w:themeColor="text1"/>
          <w:sz w:val="24"/>
          <w:szCs w:val="24"/>
        </w:rPr>
        <w:t xml:space="preserve">at </w:t>
      </w:r>
      <w:r w:rsidR="002662CC" w:rsidRPr="00D16C29">
        <w:rPr>
          <w:rFonts w:ascii="Times New Roman" w:hAnsi="Times New Roman" w:cs="Times New Roman"/>
          <w:color w:val="000000" w:themeColor="text1"/>
          <w:sz w:val="24"/>
          <w:szCs w:val="24"/>
        </w:rPr>
        <w:t>465 Pollard Hill Road</w:t>
      </w:r>
      <w:r w:rsidRPr="00D16C29">
        <w:rPr>
          <w:rFonts w:ascii="Times New Roman" w:hAnsi="Times New Roman" w:cs="Times New Roman"/>
          <w:color w:val="000000" w:themeColor="text1"/>
          <w:sz w:val="24"/>
          <w:szCs w:val="24"/>
        </w:rPr>
        <w:t xml:space="preserve">, bearing a Parcel ID </w:t>
      </w:r>
      <w:r w:rsidR="00B43458">
        <w:rPr>
          <w:rFonts w:ascii="Times New Roman" w:hAnsi="Times New Roman" w:cs="Times New Roman"/>
          <w:color w:val="000000" w:themeColor="text1"/>
          <w:sz w:val="24"/>
          <w:szCs w:val="24"/>
        </w:rPr>
        <w:t xml:space="preserve">of </w:t>
      </w:r>
      <w:r w:rsidR="002662CC" w:rsidRPr="00D16C29">
        <w:rPr>
          <w:rFonts w:ascii="Times New Roman" w:hAnsi="Times New Roman" w:cs="Times New Roman"/>
          <w:color w:val="000000" w:themeColor="text1"/>
          <w:sz w:val="24"/>
          <w:szCs w:val="24"/>
        </w:rPr>
        <w:t>R03017.B and a Span Number of 126-039-10514</w:t>
      </w:r>
      <w:r w:rsidR="00B04292" w:rsidRPr="00D16C29">
        <w:rPr>
          <w:rFonts w:ascii="Times New Roman" w:hAnsi="Times New Roman" w:cs="Times New Roman"/>
          <w:color w:val="000000" w:themeColor="text1"/>
          <w:sz w:val="24"/>
          <w:szCs w:val="24"/>
        </w:rPr>
        <w:t xml:space="preserve">. </w:t>
      </w:r>
    </w:p>
    <w:p w14:paraId="072497B9" w14:textId="77777777" w:rsidR="00995226" w:rsidRPr="00D16C29" w:rsidRDefault="00995226" w:rsidP="00995226">
      <w:pPr>
        <w:spacing w:after="0" w:line="276" w:lineRule="auto"/>
        <w:rPr>
          <w:rFonts w:ascii="Times New Roman" w:hAnsi="Times New Roman" w:cs="Times New Roman"/>
          <w:color w:val="000000" w:themeColor="text1"/>
          <w:sz w:val="24"/>
          <w:szCs w:val="24"/>
        </w:rPr>
      </w:pPr>
    </w:p>
    <w:p w14:paraId="625349FD" w14:textId="6D9C291F" w:rsidR="00624A3F" w:rsidRPr="00D16C29" w:rsidRDefault="00000000" w:rsidP="00995226">
      <w:pPr>
        <w:spacing w:line="276" w:lineRule="auto"/>
        <w:rPr>
          <w:rFonts w:ascii="Times New Roman" w:hAnsi="Times New Roman" w:cs="Times New Roman"/>
          <w:color w:val="000000" w:themeColor="text1"/>
          <w:sz w:val="24"/>
          <w:szCs w:val="24"/>
        </w:rPr>
      </w:pPr>
      <w:r w:rsidRPr="00D16C29">
        <w:rPr>
          <w:rFonts w:ascii="Times New Roman" w:hAnsi="Times New Roman" w:cs="Times New Roman"/>
          <w:b/>
          <w:bCs/>
          <w:color w:val="000000" w:themeColor="text1"/>
          <w:sz w:val="24"/>
          <w:szCs w:val="24"/>
        </w:rPr>
        <w:t>Property Type</w:t>
      </w:r>
      <w:r w:rsidR="00995226" w:rsidRPr="00D16C29">
        <w:rPr>
          <w:rFonts w:ascii="Times New Roman" w:hAnsi="Times New Roman" w:cs="Times New Roman"/>
          <w:b/>
          <w:bCs/>
          <w:color w:val="000000" w:themeColor="text1"/>
          <w:sz w:val="24"/>
          <w:szCs w:val="24"/>
        </w:rPr>
        <w:t>:</w:t>
      </w:r>
      <w:r w:rsidR="00995226" w:rsidRPr="00D16C29">
        <w:rPr>
          <w:rFonts w:ascii="Times New Roman" w:hAnsi="Times New Roman" w:cs="Times New Roman"/>
          <w:color w:val="000000" w:themeColor="text1"/>
          <w:sz w:val="24"/>
          <w:szCs w:val="24"/>
        </w:rPr>
        <w:t xml:space="preserve"> </w:t>
      </w:r>
      <w:r w:rsidR="00995226" w:rsidRPr="00D16C29">
        <w:rPr>
          <w:rFonts w:ascii="Times New Roman" w:hAnsi="Times New Roman" w:cs="Times New Roman"/>
          <w:color w:val="000000" w:themeColor="text1"/>
          <w:sz w:val="24"/>
          <w:szCs w:val="24"/>
        </w:rPr>
        <w:tab/>
      </w:r>
      <w:sdt>
        <w:sdtPr>
          <w:rPr>
            <w:rFonts w:ascii="Times New Roman" w:hAnsi="Times New Roman" w:cs="Times New Roman"/>
            <w:color w:val="000000" w:themeColor="text1"/>
            <w:sz w:val="24"/>
            <w:szCs w:val="24"/>
          </w:rPr>
          <w:id w:val="872886598"/>
          <w14:checkbox>
            <w14:checked w14:val="1"/>
            <w14:checkedState w14:val="2612" w14:font="MS Gothic"/>
            <w14:uncheckedState w14:val="2610" w14:font="MS Gothic"/>
          </w14:checkbox>
        </w:sdtPr>
        <w:sdtContent>
          <w:r w:rsidR="007840C7" w:rsidRPr="00D16C29">
            <w:rPr>
              <w:rFonts w:ascii="Segoe UI Symbol" w:eastAsia="MS Gothic" w:hAnsi="Segoe UI Symbol" w:cs="Segoe UI Symbol"/>
              <w:color w:val="000000" w:themeColor="text1"/>
              <w:sz w:val="24"/>
              <w:szCs w:val="24"/>
            </w:rPr>
            <w:t>☒</w:t>
          </w:r>
        </w:sdtContent>
      </w:sdt>
      <w:r w:rsidR="00995226" w:rsidRPr="00D16C29">
        <w:rPr>
          <w:rFonts w:ascii="Times New Roman" w:hAnsi="Times New Roman" w:cs="Times New Roman"/>
          <w:color w:val="000000" w:themeColor="text1"/>
          <w:sz w:val="24"/>
          <w:szCs w:val="24"/>
        </w:rPr>
        <w:t xml:space="preserve"> Residential </w:t>
      </w:r>
      <w:r w:rsidR="00995226" w:rsidRPr="00D16C29">
        <w:rPr>
          <w:rFonts w:ascii="Times New Roman" w:hAnsi="Times New Roman" w:cs="Times New Roman"/>
          <w:color w:val="000000" w:themeColor="text1"/>
          <w:sz w:val="24"/>
          <w:szCs w:val="24"/>
        </w:rPr>
        <w:tab/>
      </w:r>
      <w:r w:rsidR="00995226" w:rsidRPr="00D16C29">
        <w:rPr>
          <w:rFonts w:ascii="Times New Roman" w:hAnsi="Times New Roman" w:cs="Times New Roman"/>
          <w:color w:val="000000" w:themeColor="text1"/>
          <w:sz w:val="24"/>
          <w:szCs w:val="24"/>
        </w:rPr>
        <w:tab/>
      </w:r>
      <w:sdt>
        <w:sdtPr>
          <w:rPr>
            <w:rFonts w:ascii="Times New Roman" w:hAnsi="Times New Roman" w:cs="Times New Roman"/>
            <w:color w:val="000000" w:themeColor="text1"/>
            <w:sz w:val="24"/>
            <w:szCs w:val="24"/>
          </w:rPr>
          <w:id w:val="-1536959749"/>
          <w14:checkbox>
            <w14:checked w14:val="0"/>
            <w14:checkedState w14:val="2612" w14:font="MS Gothic"/>
            <w14:uncheckedState w14:val="2610" w14:font="MS Gothic"/>
          </w14:checkbox>
        </w:sdtPr>
        <w:sdtContent>
          <w:r w:rsidR="00995226" w:rsidRPr="00D16C29">
            <w:rPr>
              <w:rFonts w:ascii="Segoe UI Symbol" w:eastAsia="MS Gothic" w:hAnsi="Segoe UI Symbol" w:cs="Segoe UI Symbol"/>
              <w:color w:val="000000" w:themeColor="text1"/>
              <w:sz w:val="24"/>
              <w:szCs w:val="24"/>
            </w:rPr>
            <w:t>☐</w:t>
          </w:r>
        </w:sdtContent>
      </w:sdt>
      <w:r w:rsidR="00995226" w:rsidRPr="00D16C29">
        <w:rPr>
          <w:rFonts w:ascii="Times New Roman" w:hAnsi="Times New Roman" w:cs="Times New Roman"/>
          <w:color w:val="000000" w:themeColor="text1"/>
          <w:sz w:val="24"/>
          <w:szCs w:val="24"/>
        </w:rPr>
        <w:t xml:space="preserve"> Commercial</w:t>
      </w:r>
      <w:r w:rsidR="00995226" w:rsidRPr="00D16C29">
        <w:rPr>
          <w:rFonts w:ascii="Times New Roman" w:hAnsi="Times New Roman" w:cs="Times New Roman"/>
          <w:color w:val="000000" w:themeColor="text1"/>
          <w:sz w:val="24"/>
          <w:szCs w:val="24"/>
        </w:rPr>
        <w:tab/>
        <w:t xml:space="preserve">  </w:t>
      </w:r>
      <w:sdt>
        <w:sdtPr>
          <w:rPr>
            <w:rFonts w:ascii="Times New Roman" w:hAnsi="Times New Roman" w:cs="Times New Roman"/>
            <w:color w:val="000000" w:themeColor="text1"/>
            <w:sz w:val="24"/>
            <w:szCs w:val="24"/>
          </w:rPr>
          <w:id w:val="797578738"/>
          <w14:checkbox>
            <w14:checked w14:val="0"/>
            <w14:checkedState w14:val="2612" w14:font="MS Gothic"/>
            <w14:uncheckedState w14:val="2610" w14:font="MS Gothic"/>
          </w14:checkbox>
        </w:sdtPr>
        <w:sdtContent>
          <w:r w:rsidR="00995226" w:rsidRPr="00D16C29">
            <w:rPr>
              <w:rFonts w:ascii="Segoe UI Symbol" w:eastAsia="MS Gothic" w:hAnsi="Segoe UI Symbol" w:cs="Segoe UI Symbol"/>
              <w:color w:val="000000" w:themeColor="text1"/>
              <w:sz w:val="24"/>
              <w:szCs w:val="24"/>
            </w:rPr>
            <w:t>☐</w:t>
          </w:r>
        </w:sdtContent>
      </w:sdt>
      <w:r w:rsidR="00995226" w:rsidRPr="00D16C29">
        <w:rPr>
          <w:rFonts w:ascii="Times New Roman" w:hAnsi="Times New Roman" w:cs="Times New Roman"/>
          <w:color w:val="000000" w:themeColor="text1"/>
          <w:sz w:val="24"/>
          <w:szCs w:val="24"/>
        </w:rPr>
        <w:t xml:space="preserve">Agricultural </w:t>
      </w:r>
      <w:r w:rsidR="00995226" w:rsidRPr="00D16C29">
        <w:rPr>
          <w:rFonts w:ascii="Times New Roman" w:hAnsi="Times New Roman" w:cs="Times New Roman"/>
          <w:color w:val="000000" w:themeColor="text1"/>
          <w:sz w:val="24"/>
          <w:szCs w:val="24"/>
        </w:rPr>
        <w:tab/>
        <w:t xml:space="preserve"> </w:t>
      </w:r>
      <w:sdt>
        <w:sdtPr>
          <w:rPr>
            <w:rFonts w:ascii="Times New Roman" w:hAnsi="Times New Roman" w:cs="Times New Roman"/>
            <w:color w:val="000000" w:themeColor="text1"/>
            <w:sz w:val="24"/>
            <w:szCs w:val="24"/>
          </w:rPr>
          <w:id w:val="937959813"/>
          <w14:checkbox>
            <w14:checked w14:val="0"/>
            <w14:checkedState w14:val="2612" w14:font="MS Gothic"/>
            <w14:uncheckedState w14:val="2610" w14:font="MS Gothic"/>
          </w14:checkbox>
        </w:sdtPr>
        <w:sdtContent>
          <w:r w:rsidR="00995226" w:rsidRPr="00D16C29">
            <w:rPr>
              <w:rFonts w:ascii="Segoe UI Symbol" w:eastAsia="MS Gothic" w:hAnsi="Segoe UI Symbol" w:cs="Segoe UI Symbol"/>
              <w:color w:val="000000" w:themeColor="text1"/>
              <w:sz w:val="24"/>
              <w:szCs w:val="24"/>
            </w:rPr>
            <w:t>☐</w:t>
          </w:r>
        </w:sdtContent>
      </w:sdt>
      <w:r w:rsidR="00995226" w:rsidRPr="00D16C29">
        <w:rPr>
          <w:rFonts w:ascii="Times New Roman" w:hAnsi="Times New Roman" w:cs="Times New Roman"/>
          <w:color w:val="000000" w:themeColor="text1"/>
          <w:sz w:val="24"/>
          <w:szCs w:val="24"/>
        </w:rPr>
        <w:t xml:space="preserve">Forest Land </w:t>
      </w:r>
    </w:p>
    <w:p w14:paraId="278C93F5" w14:textId="35096202" w:rsidR="00995226" w:rsidRPr="00D16C29" w:rsidRDefault="00000000" w:rsidP="00995226">
      <w:pPr>
        <w:spacing w:line="276" w:lineRule="auto"/>
        <w:rPr>
          <w:rFonts w:ascii="Times New Roman" w:hAnsi="Times New Roman" w:cs="Times New Roman"/>
          <w:color w:val="000000" w:themeColor="text1"/>
          <w:sz w:val="24"/>
          <w:szCs w:val="24"/>
        </w:rPr>
      </w:pPr>
      <w:r w:rsidRPr="00D16C29">
        <w:rPr>
          <w:rFonts w:ascii="Times New Roman" w:hAnsi="Times New Roman" w:cs="Times New Roman"/>
          <w:b/>
          <w:bCs/>
          <w:color w:val="000000" w:themeColor="text1"/>
          <w:sz w:val="24"/>
          <w:szCs w:val="24"/>
        </w:rPr>
        <w:t>Assessed Property Value:</w:t>
      </w:r>
      <w:r w:rsidRPr="00D16C29">
        <w:rPr>
          <w:rFonts w:ascii="Times New Roman" w:hAnsi="Times New Roman" w:cs="Times New Roman"/>
          <w:color w:val="000000" w:themeColor="text1"/>
          <w:sz w:val="24"/>
          <w:szCs w:val="24"/>
        </w:rPr>
        <w:t xml:space="preserve"> $</w:t>
      </w:r>
      <w:r w:rsidR="002662CC" w:rsidRPr="00D16C29">
        <w:rPr>
          <w:rFonts w:ascii="Times New Roman" w:hAnsi="Times New Roman" w:cs="Times New Roman"/>
          <w:color w:val="000000" w:themeColor="text1"/>
          <w:sz w:val="24"/>
          <w:szCs w:val="24"/>
        </w:rPr>
        <w:t>558,900.00</w:t>
      </w:r>
    </w:p>
    <w:p w14:paraId="5714F585" w14:textId="7201BEE7" w:rsidR="00995226" w:rsidRPr="00D16C29" w:rsidRDefault="00000000" w:rsidP="00995226">
      <w:pPr>
        <w:spacing w:line="360" w:lineRule="auto"/>
        <w:rPr>
          <w:rFonts w:ascii="Times New Roman" w:hAnsi="Times New Roman" w:cs="Times New Roman"/>
          <w:b/>
          <w:color w:val="000000" w:themeColor="text1"/>
          <w:sz w:val="24"/>
          <w:szCs w:val="24"/>
        </w:rPr>
      </w:pPr>
      <w:r w:rsidRPr="00D16C29">
        <w:rPr>
          <w:rFonts w:ascii="Times New Roman" w:hAnsi="Times New Roman" w:cs="Times New Roman"/>
          <w:b/>
          <w:color w:val="000000" w:themeColor="text1"/>
          <w:sz w:val="24"/>
          <w:szCs w:val="24"/>
        </w:rPr>
        <w:t>Abatement Request Pursuant to (Category):</w:t>
      </w:r>
    </w:p>
    <w:p w14:paraId="5A1BCF26" w14:textId="77777777" w:rsidR="00995226" w:rsidRPr="00D16C29" w:rsidRDefault="00000000" w:rsidP="00995226">
      <w:pPr>
        <w:spacing w:line="36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83446696"/>
          <w14:checkbox>
            <w14:checked w14:val="0"/>
            <w14:checkedState w14:val="2612" w14:font="MS Gothic"/>
            <w14:uncheckedState w14:val="2610" w14:font="MS Gothic"/>
          </w14:checkbox>
        </w:sdtPr>
        <w:sdtContent>
          <w:r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of persons who have died insolvent. 24 V.S.A. § 1535(a)(1).</w:t>
      </w:r>
    </w:p>
    <w:p w14:paraId="77E6CADB" w14:textId="77777777" w:rsidR="00995226" w:rsidRPr="00D16C29" w:rsidRDefault="00000000" w:rsidP="00995226">
      <w:pPr>
        <w:spacing w:line="36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8608120"/>
          <w14:checkbox>
            <w14:checked w14:val="0"/>
            <w14:checkedState w14:val="2612" w14:font="MS Gothic"/>
            <w14:uncheckedState w14:val="2610" w14:font="MS Gothic"/>
          </w14:checkbox>
        </w:sdtPr>
        <w:sdtContent>
          <w:r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of persons who have removed from the state. 24 V.S.A. § 1535(a)(2).</w:t>
      </w:r>
    </w:p>
    <w:p w14:paraId="6C011C88" w14:textId="6103FF43" w:rsidR="00995226" w:rsidRPr="00D16C29" w:rsidRDefault="00000000" w:rsidP="00995226">
      <w:pPr>
        <w:spacing w:line="24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6313386"/>
          <w14:checkbox>
            <w14:checked w14:val="0"/>
            <w14:checkedState w14:val="2612" w14:font="MS Gothic"/>
            <w14:uncheckedState w14:val="2610" w14:font="MS Gothic"/>
          </w14:checkbox>
        </w:sdtPr>
        <w:sdtContent>
          <w:r w:rsidR="00965702"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of persons who are unable to pay their taxes, charges, interest, and / or collection fees. 24 V.S.A. § 1535(a)(3).</w:t>
      </w:r>
    </w:p>
    <w:p w14:paraId="6A38CDD1" w14:textId="46BCD2E0" w:rsidR="00995226" w:rsidRPr="00D16C29" w:rsidRDefault="00000000" w:rsidP="002662CC">
      <w:pPr>
        <w:spacing w:line="24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5049749"/>
          <w14:checkbox>
            <w14:checked w14:val="1"/>
            <w14:checkedState w14:val="2612" w14:font="MS Gothic"/>
            <w14:uncheckedState w14:val="2610" w14:font="MS Gothic"/>
          </w14:checkbox>
        </w:sdtPr>
        <w:sdtContent>
          <w:r w:rsidR="00965702"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in which there is manifest error</w:t>
      </w:r>
      <w:r w:rsidR="002662CC" w:rsidRPr="00D16C29">
        <w:rPr>
          <w:rFonts w:ascii="Times New Roman" w:hAnsi="Times New Roman" w:cs="Times New Roman"/>
          <w:color w:val="000000" w:themeColor="text1"/>
          <w:sz w:val="24"/>
          <w:szCs w:val="24"/>
        </w:rPr>
        <w:t xml:space="preserve"> or a mistake of the listers</w:t>
      </w:r>
      <w:r w:rsidRPr="00D16C29">
        <w:rPr>
          <w:rFonts w:ascii="Times New Roman" w:hAnsi="Times New Roman" w:cs="Times New Roman"/>
          <w:color w:val="000000" w:themeColor="text1"/>
          <w:sz w:val="24"/>
          <w:szCs w:val="24"/>
        </w:rPr>
        <w:t xml:space="preserve">. 24 V.S.A. § 1535(a)(4). </w:t>
      </w:r>
    </w:p>
    <w:p w14:paraId="203CC151" w14:textId="77777777" w:rsidR="00995226" w:rsidRPr="00D16C29" w:rsidRDefault="00000000" w:rsidP="00995226">
      <w:pPr>
        <w:spacing w:line="24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01099852"/>
          <w14:checkbox>
            <w14:checked w14:val="0"/>
            <w14:checkedState w14:val="2612" w14:font="MS Gothic"/>
            <w14:uncheckedState w14:val="2610" w14:font="MS Gothic"/>
          </w14:checkbox>
        </w:sdtPr>
        <w:sdtContent>
          <w:r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upon real or personal property lost or destroyed during the tax year. 24 V.S.A. § 1535(a)(5).</w:t>
      </w:r>
    </w:p>
    <w:p w14:paraId="55D10A9B" w14:textId="77777777" w:rsidR="00995226" w:rsidRPr="00D16C29" w:rsidRDefault="00000000" w:rsidP="00995226">
      <w:pPr>
        <w:spacing w:line="24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6358102"/>
          <w14:checkbox>
            <w14:checked w14:val="0"/>
            <w14:checkedState w14:val="2612" w14:font="MS Gothic"/>
            <w14:uncheckedState w14:val="2610" w14:font="MS Gothic"/>
          </w14:checkbox>
        </w:sdtPr>
        <w:sdtContent>
          <w:r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The exemption amount available to certain veterans and their family members under 32 V.S.A. § 3802(11) to persons otherwise eligible for exemption who file a claim on or after May 1st but before October 1st due to the claimant's sickness or disability or other good cause as determined by the Board of abatement; but that exemption amount shall be reduced by 20 percent of the total exemption for each month or portion of a month the claim is late filed. 24 V.S.A. § 1535(a)(6). </w:t>
      </w:r>
    </w:p>
    <w:p w14:paraId="4F90AF67" w14:textId="77777777" w:rsidR="00995226" w:rsidRPr="00D16C29" w:rsidRDefault="00000000" w:rsidP="00995226">
      <w:pPr>
        <w:spacing w:line="240" w:lineRule="auto"/>
        <w:ind w:left="540" w:hanging="270"/>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39660550"/>
          <w14:checkbox>
            <w14:checked w14:val="0"/>
            <w14:checkedState w14:val="2612" w14:font="MS Gothic"/>
            <w14:uncheckedState w14:val="2610" w14:font="MS Gothic"/>
          </w14:checkbox>
        </w:sdtPr>
        <w:sdtContent>
          <w:r w:rsidRPr="00D16C29">
            <w:rPr>
              <w:rFonts w:ascii="Segoe UI Symbol" w:eastAsia="MS Gothic" w:hAnsi="Segoe UI Symbol" w:cs="Segoe UI Symbol"/>
              <w:color w:val="000000" w:themeColor="text1"/>
              <w:sz w:val="24"/>
              <w:szCs w:val="24"/>
            </w:rPr>
            <w:t>☐</w:t>
          </w:r>
        </w:sdtContent>
      </w:sdt>
      <w:r w:rsidRPr="00D16C29">
        <w:rPr>
          <w:rFonts w:ascii="Times New Roman" w:hAnsi="Times New Roman" w:cs="Times New Roman"/>
          <w:color w:val="000000" w:themeColor="text1"/>
          <w:sz w:val="24"/>
          <w:szCs w:val="24"/>
        </w:rPr>
        <w:t xml:space="preserve"> Taxes or charges upon a mobile home moved from the town during the tax year </w:t>
      </w:r>
      <w:proofErr w:type="gramStart"/>
      <w:r w:rsidRPr="00D16C29">
        <w:rPr>
          <w:rFonts w:ascii="Times New Roman" w:hAnsi="Times New Roman" w:cs="Times New Roman"/>
          <w:color w:val="000000" w:themeColor="text1"/>
          <w:sz w:val="24"/>
          <w:szCs w:val="24"/>
        </w:rPr>
        <w:t>as a result of</w:t>
      </w:r>
      <w:proofErr w:type="gramEnd"/>
      <w:r w:rsidRPr="00D16C29">
        <w:rPr>
          <w:rFonts w:ascii="Times New Roman" w:hAnsi="Times New Roman" w:cs="Times New Roman"/>
          <w:color w:val="000000" w:themeColor="text1"/>
          <w:sz w:val="24"/>
          <w:szCs w:val="24"/>
        </w:rPr>
        <w:t xml:space="preserve"> a change in use of the mobile home park land or parts thereof, or closure of the mobile home park in which the mobile home was sited, pursuant to 10 V.S.A. § 6237. 24 V.S.A. § 1535(a)(9).</w:t>
      </w:r>
    </w:p>
    <w:p w14:paraId="4DC6789D" w14:textId="77777777" w:rsidR="00212F42" w:rsidRPr="00D16C29" w:rsidRDefault="00212F42" w:rsidP="00995226">
      <w:pPr>
        <w:spacing w:line="240" w:lineRule="auto"/>
        <w:ind w:left="540" w:hanging="270"/>
        <w:rPr>
          <w:rFonts w:ascii="Times New Roman" w:hAnsi="Times New Roman" w:cs="Times New Roman"/>
          <w:b/>
          <w:color w:val="000000" w:themeColor="text1"/>
          <w:sz w:val="10"/>
          <w:szCs w:val="10"/>
        </w:rPr>
      </w:pPr>
    </w:p>
    <w:p w14:paraId="0486648E" w14:textId="5C31EB6A" w:rsidR="00995226" w:rsidRPr="00D16C29" w:rsidRDefault="00000000" w:rsidP="00995226">
      <w:pPr>
        <w:spacing w:line="360" w:lineRule="auto"/>
        <w:rPr>
          <w:rFonts w:ascii="Times New Roman" w:hAnsi="Times New Roman" w:cs="Times New Roman"/>
          <w:color w:val="000000" w:themeColor="text1"/>
          <w:sz w:val="24"/>
          <w:szCs w:val="24"/>
        </w:rPr>
      </w:pPr>
      <w:r w:rsidRPr="00D16C29">
        <w:rPr>
          <w:rFonts w:ascii="Times New Roman" w:hAnsi="Times New Roman" w:cs="Times New Roman"/>
          <w:b/>
          <w:bCs/>
          <w:color w:val="000000" w:themeColor="text1"/>
          <w:sz w:val="24"/>
          <w:szCs w:val="24"/>
        </w:rPr>
        <w:t>Hearing Date</w:t>
      </w:r>
      <w:r w:rsidRPr="00D16C29">
        <w:rPr>
          <w:rFonts w:ascii="Times New Roman" w:hAnsi="Times New Roman" w:cs="Times New Roman"/>
          <w:color w:val="000000" w:themeColor="text1"/>
          <w:sz w:val="24"/>
          <w:szCs w:val="24"/>
        </w:rPr>
        <w:t xml:space="preserve">: </w:t>
      </w:r>
      <w:r w:rsidR="002662CC" w:rsidRPr="00D16C29">
        <w:rPr>
          <w:rFonts w:ascii="Times New Roman" w:hAnsi="Times New Roman" w:cs="Times New Roman"/>
          <w:color w:val="000000" w:themeColor="text1"/>
          <w:sz w:val="24"/>
          <w:szCs w:val="24"/>
        </w:rPr>
        <w:t>October 15, 2025</w:t>
      </w:r>
      <w:r w:rsidR="00212F42" w:rsidRPr="00D16C29">
        <w:rPr>
          <w:rFonts w:ascii="Times New Roman" w:hAnsi="Times New Roman" w:cs="Times New Roman"/>
          <w:color w:val="000000" w:themeColor="text1"/>
          <w:sz w:val="24"/>
          <w:szCs w:val="24"/>
        </w:rPr>
        <w:t>/Opened at 6:00 P.M. &amp; Adjourned at 7:06 P.M.</w:t>
      </w:r>
    </w:p>
    <w:p w14:paraId="694A9DA9" w14:textId="77777777" w:rsidR="002662CC" w:rsidRPr="00D16C29" w:rsidRDefault="00000000" w:rsidP="00995226">
      <w:pPr>
        <w:spacing w:line="360" w:lineRule="auto"/>
        <w:rPr>
          <w:rFonts w:ascii="Times New Roman" w:hAnsi="Times New Roman"/>
          <w:color w:val="000000" w:themeColor="text1"/>
        </w:rPr>
      </w:pPr>
      <w:r w:rsidRPr="00D16C29">
        <w:rPr>
          <w:rFonts w:ascii="Times New Roman" w:hAnsi="Times New Roman" w:cs="Times New Roman"/>
          <w:b/>
          <w:bCs/>
          <w:color w:val="000000" w:themeColor="text1"/>
          <w:sz w:val="24"/>
          <w:szCs w:val="24"/>
        </w:rPr>
        <w:t>Board Members Present</w:t>
      </w:r>
      <w:r w:rsidRPr="00D16C29">
        <w:rPr>
          <w:rFonts w:ascii="Times New Roman" w:hAnsi="Times New Roman" w:cs="Times New Roman"/>
          <w:color w:val="000000" w:themeColor="text1"/>
          <w:sz w:val="24"/>
          <w:szCs w:val="24"/>
        </w:rPr>
        <w:t xml:space="preserve">: </w:t>
      </w:r>
      <w:r w:rsidR="002662CC" w:rsidRPr="00D16C29">
        <w:rPr>
          <w:rFonts w:ascii="Times New Roman" w:hAnsi="Times New Roman"/>
          <w:color w:val="000000" w:themeColor="text1"/>
        </w:rPr>
        <w:t xml:space="preserve">Dillon Begin (Chair), Zachary Brown, Alfred Buckley, Laurie Daley, Michael Daley, Noreen Labrecque, Judith Masson. Fern Owen, Krista Rodrigue, Gordon “Tom” Trammell Jr., and Tana Trammel. </w:t>
      </w:r>
    </w:p>
    <w:p w14:paraId="2CB27442" w14:textId="086A3BAA" w:rsidR="00995226" w:rsidRPr="00D16C29" w:rsidRDefault="00000000" w:rsidP="00995226">
      <w:pPr>
        <w:spacing w:line="360" w:lineRule="auto"/>
        <w:rPr>
          <w:rFonts w:ascii="Times New Roman" w:hAnsi="Times New Roman" w:cs="Times New Roman"/>
          <w:color w:val="000000" w:themeColor="text1"/>
          <w:sz w:val="24"/>
          <w:szCs w:val="24"/>
        </w:rPr>
      </w:pPr>
      <w:r w:rsidRPr="00D16C29">
        <w:rPr>
          <w:rFonts w:ascii="Times New Roman" w:hAnsi="Times New Roman" w:cs="Times New Roman"/>
          <w:b/>
          <w:bCs/>
          <w:color w:val="000000" w:themeColor="text1"/>
          <w:sz w:val="24"/>
          <w:szCs w:val="24"/>
        </w:rPr>
        <w:t>Appearing for the Applicant</w:t>
      </w:r>
      <w:r w:rsidRPr="00D16C29">
        <w:rPr>
          <w:rFonts w:ascii="Times New Roman" w:hAnsi="Times New Roman" w:cs="Times New Roman"/>
          <w:color w:val="000000" w:themeColor="text1"/>
          <w:sz w:val="24"/>
          <w:szCs w:val="24"/>
        </w:rPr>
        <w:t>:</w:t>
      </w:r>
      <w:r w:rsidR="00965702" w:rsidRPr="00D16C29">
        <w:rPr>
          <w:rFonts w:ascii="Times New Roman" w:hAnsi="Times New Roman" w:cs="Times New Roman"/>
          <w:color w:val="000000" w:themeColor="text1"/>
          <w:sz w:val="24"/>
          <w:szCs w:val="24"/>
        </w:rPr>
        <w:t xml:space="preserve"> </w:t>
      </w:r>
      <w:r w:rsidR="002662CC" w:rsidRPr="00D16C29">
        <w:rPr>
          <w:rFonts w:ascii="Times New Roman" w:hAnsi="Times New Roman" w:cs="Times New Roman"/>
          <w:color w:val="000000" w:themeColor="text1"/>
          <w:sz w:val="24"/>
          <w:szCs w:val="24"/>
        </w:rPr>
        <w:t>Jonathan Benoit</w:t>
      </w:r>
    </w:p>
    <w:p w14:paraId="324013F6" w14:textId="77777777" w:rsidR="002662CC" w:rsidRPr="00D16C29" w:rsidRDefault="002662CC" w:rsidP="00705049">
      <w:pPr>
        <w:pBdr>
          <w:bottom w:val="single" w:sz="4" w:space="4" w:color="auto"/>
        </w:pBdr>
        <w:spacing w:line="240" w:lineRule="auto"/>
        <w:rPr>
          <w:rFonts w:ascii="Times New Roman" w:hAnsi="Times New Roman" w:cs="Times New Roman"/>
          <w:b/>
          <w:color w:val="000000" w:themeColor="text1"/>
          <w:sz w:val="24"/>
          <w:szCs w:val="24"/>
        </w:rPr>
      </w:pPr>
    </w:p>
    <w:p w14:paraId="1A7C982E" w14:textId="77777777" w:rsidR="00D16C29" w:rsidRPr="00D16C29" w:rsidRDefault="00D16C29" w:rsidP="00705049">
      <w:pPr>
        <w:pBdr>
          <w:bottom w:val="single" w:sz="4" w:space="4" w:color="auto"/>
        </w:pBdr>
        <w:spacing w:line="240" w:lineRule="auto"/>
        <w:rPr>
          <w:rFonts w:ascii="Times New Roman" w:hAnsi="Times New Roman" w:cs="Times New Roman"/>
          <w:b/>
          <w:color w:val="000000" w:themeColor="text1"/>
          <w:sz w:val="24"/>
          <w:szCs w:val="24"/>
        </w:rPr>
      </w:pPr>
    </w:p>
    <w:p w14:paraId="67E7B634" w14:textId="4F642E94" w:rsidR="00705049" w:rsidRPr="00D16C29" w:rsidRDefault="00000000" w:rsidP="00705049">
      <w:pPr>
        <w:pBdr>
          <w:bottom w:val="single" w:sz="4" w:space="4" w:color="auto"/>
        </w:pBdr>
        <w:spacing w:line="240" w:lineRule="auto"/>
        <w:rPr>
          <w:rFonts w:ascii="Times New Roman" w:hAnsi="Times New Roman" w:cs="Times New Roman"/>
          <w:color w:val="000000" w:themeColor="text1"/>
          <w:sz w:val="24"/>
          <w:szCs w:val="24"/>
        </w:rPr>
      </w:pPr>
      <w:r w:rsidRPr="00D16C29">
        <w:rPr>
          <w:rFonts w:ascii="Times New Roman" w:hAnsi="Times New Roman" w:cs="Times New Roman"/>
          <w:b/>
          <w:color w:val="000000" w:themeColor="text1"/>
          <w:sz w:val="24"/>
          <w:szCs w:val="24"/>
        </w:rPr>
        <w:lastRenderedPageBreak/>
        <w:t>Findings of Fact:</w:t>
      </w:r>
      <w:r w:rsidRPr="00D16C29">
        <w:rPr>
          <w:rFonts w:ascii="Times New Roman" w:hAnsi="Times New Roman" w:cs="Times New Roman"/>
          <w:color w:val="000000" w:themeColor="text1"/>
          <w:sz w:val="24"/>
          <w:szCs w:val="24"/>
        </w:rPr>
        <w:t xml:space="preserve"> </w:t>
      </w:r>
      <w:r w:rsidR="007840C7" w:rsidRPr="00D16C29">
        <w:rPr>
          <w:rFonts w:ascii="Times New Roman" w:hAnsi="Times New Roman" w:cs="Times New Roman"/>
          <w:color w:val="000000" w:themeColor="text1"/>
          <w:sz w:val="24"/>
          <w:szCs w:val="24"/>
        </w:rPr>
        <w:t xml:space="preserve">  </w:t>
      </w:r>
      <w:r w:rsidR="00705049" w:rsidRPr="00D16C29">
        <w:rPr>
          <w:rFonts w:ascii="Times New Roman" w:hAnsi="Times New Roman" w:cs="Times New Roman"/>
          <w:color w:val="000000" w:themeColor="text1"/>
          <w:sz w:val="24"/>
          <w:szCs w:val="24"/>
        </w:rPr>
        <w:t xml:space="preserve">Mr. Benoit articulated his intention to pursue the abatement of his taxes and fees for the years 2022, 2023, 2024, and 2025 due to identified errors and omissions.  He formally stated that the basis for his request for abatement falls under </w:t>
      </w:r>
      <w:r w:rsidR="00B43458" w:rsidRPr="00B43458">
        <w:rPr>
          <w:rFonts w:ascii="Times New Roman" w:hAnsi="Times New Roman" w:cs="Times New Roman"/>
          <w:color w:val="000000" w:themeColor="text1"/>
          <w:sz w:val="24"/>
          <w:szCs w:val="24"/>
        </w:rPr>
        <w:t>24 V.S.A. § 1535(a)(4)</w:t>
      </w:r>
      <w:r w:rsidR="00B43458">
        <w:rPr>
          <w:rFonts w:ascii="Times New Roman" w:hAnsi="Times New Roman" w:cs="Times New Roman"/>
          <w:color w:val="000000" w:themeColor="text1"/>
          <w:sz w:val="24"/>
          <w:szCs w:val="24"/>
        </w:rPr>
        <w:t>: t</w:t>
      </w:r>
      <w:r w:rsidR="00B43458" w:rsidRPr="00B43458">
        <w:rPr>
          <w:rFonts w:ascii="Times New Roman" w:hAnsi="Times New Roman" w:cs="Times New Roman"/>
          <w:color w:val="000000" w:themeColor="text1"/>
          <w:sz w:val="24"/>
          <w:szCs w:val="24"/>
        </w:rPr>
        <w:t xml:space="preserve">axes or charges in which there is manifest error or a mistake of the listers. </w:t>
      </w:r>
      <w:r w:rsidR="00705049" w:rsidRPr="00D16C29">
        <w:rPr>
          <w:rFonts w:ascii="Times New Roman" w:hAnsi="Times New Roman" w:cs="Times New Roman"/>
          <w:color w:val="000000" w:themeColor="text1"/>
          <w:sz w:val="24"/>
          <w:szCs w:val="24"/>
        </w:rPr>
        <w:t>Mr. Benoit expressed his desire to rectify these errors.</w:t>
      </w:r>
    </w:p>
    <w:p w14:paraId="76C17E43" w14:textId="5DCF9AC0" w:rsidR="00705049" w:rsidRPr="00D16C29" w:rsidRDefault="00705049" w:rsidP="00705049">
      <w:pPr>
        <w:pBdr>
          <w:bottom w:val="single" w:sz="4" w:space="4" w:color="auto"/>
        </w:pBd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In support of his claims, Mr. Benoit provided a presentation detailing the alleged inaccuracies, which included photographic evidence</w:t>
      </w:r>
      <w:r w:rsidR="00317FB0">
        <w:rPr>
          <w:rFonts w:ascii="Times New Roman" w:hAnsi="Times New Roman" w:cs="Times New Roman"/>
          <w:color w:val="000000" w:themeColor="text1"/>
          <w:sz w:val="24"/>
          <w:szCs w:val="24"/>
        </w:rPr>
        <w:t xml:space="preserve"> (attached)</w:t>
      </w:r>
      <w:r w:rsidRPr="00D16C29">
        <w:rPr>
          <w:rFonts w:ascii="Times New Roman" w:hAnsi="Times New Roman" w:cs="Times New Roman"/>
          <w:color w:val="000000" w:themeColor="text1"/>
          <w:sz w:val="24"/>
          <w:szCs w:val="24"/>
        </w:rPr>
        <w:t xml:space="preserve">.  Additionally, he documented these errors in a table format </w:t>
      </w:r>
      <w:r w:rsidR="00317FB0">
        <w:rPr>
          <w:rFonts w:ascii="Times New Roman" w:hAnsi="Times New Roman" w:cs="Times New Roman"/>
          <w:color w:val="000000" w:themeColor="text1"/>
          <w:sz w:val="24"/>
          <w:szCs w:val="24"/>
        </w:rPr>
        <w:t xml:space="preserve">(attached) </w:t>
      </w:r>
      <w:r w:rsidRPr="00D16C29">
        <w:rPr>
          <w:rFonts w:ascii="Times New Roman" w:hAnsi="Times New Roman" w:cs="Times New Roman"/>
          <w:color w:val="000000" w:themeColor="text1"/>
          <w:sz w:val="24"/>
          <w:szCs w:val="24"/>
        </w:rPr>
        <w:t xml:space="preserve">that illustrated the impact of the purported inaccuracies on the property’s valuation, along with his asserted correct value.  </w:t>
      </w:r>
    </w:p>
    <w:p w14:paraId="1E1FAF3F" w14:textId="0E94471C" w:rsidR="002662CC" w:rsidRPr="00D16C29" w:rsidRDefault="00705049" w:rsidP="00705049">
      <w:pPr>
        <w:pBdr>
          <w:bottom w:val="single" w:sz="4" w:space="4" w:color="auto"/>
        </w:pBd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 xml:space="preserve">The property’s current assessed value stands at $558,900, whereas Mr. Benoit maintains that, following the correction of the alleged errors, the appropriate value should be $360,989.22.  Through the correspondence he submitted, Mr. Benoit indicated his request for the following relief: “to abate the portion of the 2022 property taxes attributable to the erroneous assessment, calculated from the revised assessed value noted above (or, alternatively, computed using the Board-approved corrected lines once entered), to abate any delinquent interest and collection fees associated with the </w:t>
      </w:r>
      <w:proofErr w:type="spellStart"/>
      <w:r w:rsidRPr="00D16C29">
        <w:rPr>
          <w:rFonts w:ascii="Times New Roman" w:hAnsi="Times New Roman" w:cs="Times New Roman"/>
          <w:color w:val="000000" w:themeColor="text1"/>
          <w:sz w:val="24"/>
          <w:szCs w:val="24"/>
        </w:rPr>
        <w:t>overassessed</w:t>
      </w:r>
      <w:proofErr w:type="spellEnd"/>
      <w:r w:rsidRPr="00D16C29">
        <w:rPr>
          <w:rFonts w:ascii="Times New Roman" w:hAnsi="Times New Roman" w:cs="Times New Roman"/>
          <w:color w:val="000000" w:themeColor="text1"/>
          <w:sz w:val="24"/>
          <w:szCs w:val="24"/>
        </w:rPr>
        <w:t xml:space="preserve"> portion, in accordance with 24 V.S.A. § 1535(c), and to order a refund or credit of the abated amount along with applicable interest, as per 24 V.S.A. § 1535(d).” He subsequently requested the same relief using identical language for the property taxes</w:t>
      </w:r>
      <w:r w:rsidR="00B43458">
        <w:rPr>
          <w:rFonts w:ascii="Times New Roman" w:hAnsi="Times New Roman" w:cs="Times New Roman"/>
          <w:color w:val="000000" w:themeColor="text1"/>
          <w:sz w:val="24"/>
          <w:szCs w:val="24"/>
        </w:rPr>
        <w:t>, fees, and interest</w:t>
      </w:r>
      <w:r w:rsidRPr="00D16C29">
        <w:rPr>
          <w:rFonts w:ascii="Times New Roman" w:hAnsi="Times New Roman" w:cs="Times New Roman"/>
          <w:color w:val="000000" w:themeColor="text1"/>
          <w:sz w:val="24"/>
          <w:szCs w:val="24"/>
        </w:rPr>
        <w:t xml:space="preserve"> pertaining to the years 2023, 2024, and 2025.</w:t>
      </w:r>
    </w:p>
    <w:p w14:paraId="055B5222" w14:textId="16310F49" w:rsidR="00624A3F" w:rsidRPr="00D16C29" w:rsidRDefault="00000000" w:rsidP="00B4370D">
      <w:pPr>
        <w:spacing w:line="360" w:lineRule="auto"/>
        <w:rPr>
          <w:rFonts w:ascii="Times New Roman" w:hAnsi="Times New Roman" w:cs="Times New Roman"/>
          <w:b/>
          <w:bCs/>
          <w:color w:val="000000" w:themeColor="text1"/>
          <w:sz w:val="24"/>
          <w:szCs w:val="24"/>
        </w:rPr>
      </w:pPr>
      <w:r w:rsidRPr="00D16C29">
        <w:rPr>
          <w:rFonts w:ascii="Times New Roman" w:hAnsi="Times New Roman" w:cs="Times New Roman"/>
          <w:b/>
          <w:bCs/>
          <w:color w:val="000000" w:themeColor="text1"/>
          <w:sz w:val="24"/>
          <w:szCs w:val="24"/>
        </w:rPr>
        <w:t>DECISION</w:t>
      </w:r>
    </w:p>
    <w:p w14:paraId="3574F738" w14:textId="77777777" w:rsidR="00995226" w:rsidRPr="00D16C29" w:rsidRDefault="00000000" w:rsidP="00995226">
      <w:pPr>
        <w:spacing w:line="36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The applicant's request for abatement was:</w:t>
      </w:r>
    </w:p>
    <w:p w14:paraId="30EC02E4" w14:textId="5C0214D4" w:rsidR="00995226" w:rsidRPr="00D16C29" w:rsidRDefault="00000000" w:rsidP="007840C7">
      <w:pPr>
        <w:spacing w:after="0" w:line="240" w:lineRule="auto"/>
        <w:rPr>
          <w:rFonts w:ascii="Times New Roman" w:hAnsi="Times New Roman" w:cs="Times New Roman"/>
          <w:bCs/>
          <w:color w:val="000000" w:themeColor="text1"/>
          <w:sz w:val="24"/>
          <w:szCs w:val="24"/>
        </w:rPr>
      </w:pPr>
      <w:sdt>
        <w:sdtPr>
          <w:rPr>
            <w:rFonts w:ascii="Times New Roman" w:hAnsi="Times New Roman" w:cs="Times New Roman"/>
            <w:b/>
            <w:color w:val="000000" w:themeColor="text1"/>
            <w:sz w:val="24"/>
            <w:szCs w:val="24"/>
          </w:rPr>
          <w:id w:val="-1700841979"/>
          <w14:checkbox>
            <w14:checked w14:val="1"/>
            <w14:checkedState w14:val="2612" w14:font="MS Gothic"/>
            <w14:uncheckedState w14:val="2610" w14:font="MS Gothic"/>
          </w14:checkbox>
        </w:sdtPr>
        <w:sdtContent>
          <w:r w:rsidR="007840C7" w:rsidRPr="00D16C29">
            <w:rPr>
              <w:rFonts w:ascii="Segoe UI Symbol" w:eastAsia="MS Gothic" w:hAnsi="Segoe UI Symbol" w:cs="Segoe UI Symbol"/>
              <w:b/>
              <w:color w:val="000000" w:themeColor="text1"/>
              <w:sz w:val="24"/>
              <w:szCs w:val="24"/>
            </w:rPr>
            <w:t>☒</w:t>
          </w:r>
        </w:sdtContent>
      </w:sdt>
      <w:r w:rsidR="00E94070" w:rsidRPr="00D16C29">
        <w:rPr>
          <w:rFonts w:ascii="Times New Roman" w:hAnsi="Times New Roman" w:cs="Times New Roman"/>
          <w:b/>
          <w:color w:val="000000" w:themeColor="text1"/>
          <w:sz w:val="24"/>
          <w:szCs w:val="24"/>
        </w:rPr>
        <w:t xml:space="preserve"> </w:t>
      </w:r>
      <w:r w:rsidRPr="00D16C29">
        <w:rPr>
          <w:rFonts w:ascii="Times New Roman" w:hAnsi="Times New Roman" w:cs="Times New Roman"/>
          <w:b/>
          <w:color w:val="000000" w:themeColor="text1"/>
          <w:sz w:val="24"/>
          <w:szCs w:val="24"/>
        </w:rPr>
        <w:t>Denied by the Board.</w:t>
      </w:r>
      <w:r w:rsidR="007840C7" w:rsidRPr="00D16C29">
        <w:rPr>
          <w:rFonts w:ascii="Times New Roman" w:hAnsi="Times New Roman" w:cs="Times New Roman"/>
          <w:bCs/>
          <w:color w:val="000000" w:themeColor="text1"/>
          <w:sz w:val="24"/>
          <w:szCs w:val="24"/>
        </w:rPr>
        <w:t xml:space="preserve">   </w:t>
      </w:r>
    </w:p>
    <w:p w14:paraId="46E41DB3" w14:textId="77777777" w:rsidR="007840C7" w:rsidRPr="00D16C29" w:rsidRDefault="007840C7" w:rsidP="007840C7">
      <w:pPr>
        <w:spacing w:after="0" w:line="240" w:lineRule="auto"/>
        <w:ind w:left="450" w:hanging="270"/>
        <w:rPr>
          <w:rFonts w:ascii="Times New Roman" w:hAnsi="Times New Roman" w:cs="Times New Roman"/>
          <w:bCs/>
          <w:color w:val="000000" w:themeColor="text1"/>
          <w:sz w:val="24"/>
          <w:szCs w:val="24"/>
        </w:rPr>
      </w:pPr>
    </w:p>
    <w:p w14:paraId="0217303A" w14:textId="56E5F00A" w:rsidR="00995226" w:rsidRPr="00D16C29" w:rsidRDefault="00000000" w:rsidP="00B04292">
      <w:pPr>
        <w:spacing w:after="0" w:line="240" w:lineRule="auto"/>
        <w:rPr>
          <w:rFonts w:ascii="Times New Roman" w:hAnsi="Times New Roman" w:cs="Times New Roman"/>
          <w:b/>
          <w:color w:val="000000" w:themeColor="text1"/>
          <w:sz w:val="24"/>
          <w:szCs w:val="24"/>
        </w:rPr>
      </w:pPr>
      <w:sdt>
        <w:sdtPr>
          <w:rPr>
            <w:rFonts w:ascii="Times New Roman" w:hAnsi="Times New Roman" w:cs="Times New Roman"/>
            <w:b/>
            <w:color w:val="000000" w:themeColor="text1"/>
            <w:sz w:val="24"/>
            <w:szCs w:val="24"/>
          </w:rPr>
          <w:id w:val="37403447"/>
          <w14:checkbox>
            <w14:checked w14:val="0"/>
            <w14:checkedState w14:val="2612" w14:font="MS Gothic"/>
            <w14:uncheckedState w14:val="2610" w14:font="MS Gothic"/>
          </w14:checkbox>
        </w:sdtPr>
        <w:sdtContent>
          <w:r w:rsidRPr="00D16C29">
            <w:rPr>
              <w:rFonts w:ascii="Segoe UI Symbol" w:eastAsia="MS Gothic" w:hAnsi="Segoe UI Symbol" w:cs="Segoe UI Symbol"/>
              <w:b/>
              <w:color w:val="000000" w:themeColor="text1"/>
              <w:sz w:val="24"/>
              <w:szCs w:val="24"/>
            </w:rPr>
            <w:t>☐</w:t>
          </w:r>
        </w:sdtContent>
      </w:sdt>
      <w:r w:rsidR="00E94070" w:rsidRPr="00D16C29">
        <w:rPr>
          <w:rFonts w:ascii="Times New Roman" w:hAnsi="Times New Roman" w:cs="Times New Roman"/>
          <w:b/>
          <w:color w:val="000000" w:themeColor="text1"/>
          <w:sz w:val="24"/>
          <w:szCs w:val="24"/>
        </w:rPr>
        <w:t xml:space="preserve"> </w:t>
      </w:r>
      <w:r w:rsidRPr="00D16C29">
        <w:rPr>
          <w:rFonts w:ascii="Times New Roman" w:hAnsi="Times New Roman" w:cs="Times New Roman"/>
          <w:b/>
          <w:color w:val="000000" w:themeColor="text1"/>
          <w:sz w:val="24"/>
          <w:szCs w:val="24"/>
        </w:rPr>
        <w:t xml:space="preserve">Granted by the Board </w:t>
      </w:r>
    </w:p>
    <w:p w14:paraId="3A864F04" w14:textId="77777777" w:rsidR="00B04292" w:rsidRPr="00D16C29" w:rsidRDefault="00B04292" w:rsidP="00B04292">
      <w:pPr>
        <w:spacing w:after="0" w:line="240" w:lineRule="auto"/>
        <w:rPr>
          <w:rFonts w:ascii="Times New Roman" w:hAnsi="Times New Roman" w:cs="Times New Roman"/>
          <w:b/>
          <w:color w:val="000000" w:themeColor="text1"/>
          <w:sz w:val="24"/>
          <w:szCs w:val="24"/>
        </w:rPr>
      </w:pPr>
    </w:p>
    <w:p w14:paraId="28600763" w14:textId="5CA5DFE0" w:rsidR="00D16C29" w:rsidRPr="00D16C29" w:rsidRDefault="00D16C29" w:rsidP="00B04292">
      <w:pPr>
        <w:spacing w:after="0" w:line="240" w:lineRule="auto"/>
        <w:rPr>
          <w:rFonts w:ascii="Times New Roman" w:hAnsi="Times New Roman" w:cs="Times New Roman"/>
          <w:b/>
          <w:color w:val="000000" w:themeColor="text1"/>
          <w:sz w:val="24"/>
          <w:szCs w:val="24"/>
        </w:rPr>
      </w:pPr>
      <w:r w:rsidRPr="00D16C29">
        <w:rPr>
          <w:rFonts w:ascii="Times New Roman" w:hAnsi="Times New Roman" w:cs="Times New Roman"/>
          <w:b/>
          <w:color w:val="000000" w:themeColor="text1"/>
          <w:sz w:val="24"/>
          <w:szCs w:val="24"/>
        </w:rPr>
        <w:t xml:space="preserve">Formal Decision:  </w:t>
      </w:r>
    </w:p>
    <w:p w14:paraId="740661E6" w14:textId="77777777" w:rsidR="00D16C29" w:rsidRPr="00D16C29" w:rsidRDefault="00D16C29" w:rsidP="00B04292">
      <w:pPr>
        <w:spacing w:after="0" w:line="240" w:lineRule="auto"/>
        <w:rPr>
          <w:rFonts w:ascii="Times New Roman" w:hAnsi="Times New Roman" w:cs="Times New Roman"/>
          <w:b/>
          <w:color w:val="000000" w:themeColor="text1"/>
          <w:sz w:val="24"/>
          <w:szCs w:val="24"/>
        </w:rPr>
      </w:pPr>
    </w:p>
    <w:p w14:paraId="4C0B73BC" w14:textId="09069146" w:rsidR="00D16C29" w:rsidRPr="00D16C29" w:rsidRDefault="00D16C29" w:rsidP="00D16C29">
      <w:p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 xml:space="preserve">After due deliberation (see below for reasoning), the Board of Abatement unanimously voted to </w:t>
      </w:r>
      <w:r w:rsidRPr="00D16C29">
        <w:rPr>
          <w:rFonts w:ascii="Times New Roman" w:hAnsi="Times New Roman" w:cs="Times New Roman"/>
          <w:b/>
          <w:color w:val="000000" w:themeColor="text1"/>
          <w:sz w:val="24"/>
          <w:szCs w:val="24"/>
        </w:rPr>
        <w:t>DENY</w:t>
      </w:r>
      <w:r w:rsidRPr="00D16C29">
        <w:rPr>
          <w:rFonts w:ascii="Times New Roman" w:hAnsi="Times New Roman" w:cs="Times New Roman"/>
          <w:bCs/>
          <w:color w:val="000000" w:themeColor="text1"/>
          <w:sz w:val="24"/>
          <w:szCs w:val="24"/>
        </w:rPr>
        <w:t xml:space="preserve"> Jonathan and Lenore Benoit’s request for abatement of property taxes, interest, and collection fees for the tax years 2022, 2023, 2024, and 2025.</w:t>
      </w:r>
    </w:p>
    <w:p w14:paraId="0189639D" w14:textId="77777777" w:rsidR="00D16C29" w:rsidRPr="00D16C29" w:rsidRDefault="00D16C29" w:rsidP="00D16C29">
      <w:pPr>
        <w:spacing w:after="0" w:line="240" w:lineRule="auto"/>
        <w:rPr>
          <w:rFonts w:ascii="Times New Roman" w:hAnsi="Times New Roman" w:cs="Times New Roman"/>
          <w:bCs/>
          <w:color w:val="000000" w:themeColor="text1"/>
          <w:sz w:val="24"/>
          <w:szCs w:val="24"/>
        </w:rPr>
      </w:pPr>
    </w:p>
    <w:p w14:paraId="6E63E32A" w14:textId="77777777" w:rsidR="00D16C29" w:rsidRPr="00D16C29" w:rsidRDefault="00D16C29" w:rsidP="00D16C29">
      <w:p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This decision reflects the Board’s determination that:</w:t>
      </w:r>
    </w:p>
    <w:p w14:paraId="090EA35E" w14:textId="77777777" w:rsidR="00D16C29" w:rsidRPr="00D16C29" w:rsidRDefault="00D16C29" w:rsidP="00D16C29">
      <w:pPr>
        <w:numPr>
          <w:ilvl w:val="0"/>
          <w:numId w:val="2"/>
        </w:num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The alleged errors could not have been known to the listers without inspection and were not visible from the public way.</w:t>
      </w:r>
    </w:p>
    <w:p w14:paraId="119E1036" w14:textId="77777777" w:rsidR="00D16C29" w:rsidRPr="00D16C29" w:rsidRDefault="00D16C29" w:rsidP="00D16C29">
      <w:pPr>
        <w:numPr>
          <w:ilvl w:val="0"/>
          <w:numId w:val="2"/>
        </w:num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The time for addressing assessment-related concerns has passed under the statutory grievance process.</w:t>
      </w:r>
    </w:p>
    <w:p w14:paraId="77E0B0E5" w14:textId="77777777" w:rsidR="00D16C29" w:rsidRPr="00D16C29" w:rsidRDefault="00D16C29" w:rsidP="00D16C29">
      <w:pPr>
        <w:numPr>
          <w:ilvl w:val="0"/>
          <w:numId w:val="2"/>
        </w:num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The Board, in exercising its discretion under 24 V.S.A. § 1535, finds no manifest error or equitable basis for abatement.</w:t>
      </w:r>
    </w:p>
    <w:p w14:paraId="01EF33C3" w14:textId="77777777" w:rsidR="00D16C29" w:rsidRPr="00D16C29" w:rsidRDefault="00D16C29" w:rsidP="00D16C29">
      <w:pPr>
        <w:numPr>
          <w:ilvl w:val="0"/>
          <w:numId w:val="2"/>
        </w:num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bCs/>
          <w:color w:val="000000" w:themeColor="text1"/>
          <w:sz w:val="24"/>
          <w:szCs w:val="24"/>
        </w:rPr>
        <w:t>The Board feels it is its duty to uphold past precedent by leaving assessment and valuation matters to the statutory grievance procedure.</w:t>
      </w:r>
    </w:p>
    <w:p w14:paraId="33F670B5" w14:textId="77777777" w:rsidR="00D16C29" w:rsidRPr="00D16C29" w:rsidRDefault="00D16C29" w:rsidP="00B04292">
      <w:pPr>
        <w:spacing w:after="0" w:line="240" w:lineRule="auto"/>
        <w:rPr>
          <w:rFonts w:ascii="Times New Roman" w:hAnsi="Times New Roman" w:cs="Times New Roman"/>
          <w:b/>
          <w:color w:val="000000" w:themeColor="text1"/>
          <w:sz w:val="24"/>
          <w:szCs w:val="24"/>
        </w:rPr>
      </w:pPr>
    </w:p>
    <w:p w14:paraId="0D4E6AC3" w14:textId="77777777" w:rsidR="00D16C29" w:rsidRDefault="00D16C29" w:rsidP="00B04292">
      <w:pPr>
        <w:spacing w:after="0" w:line="240" w:lineRule="auto"/>
        <w:rPr>
          <w:rFonts w:ascii="Times New Roman" w:hAnsi="Times New Roman" w:cs="Times New Roman"/>
          <w:b/>
          <w:color w:val="000000" w:themeColor="text1"/>
          <w:sz w:val="24"/>
          <w:szCs w:val="24"/>
        </w:rPr>
      </w:pPr>
    </w:p>
    <w:p w14:paraId="56799DD6" w14:textId="77777777" w:rsidR="00B43458" w:rsidRDefault="00B43458" w:rsidP="00B04292">
      <w:pPr>
        <w:spacing w:after="0" w:line="240" w:lineRule="auto"/>
        <w:rPr>
          <w:rFonts w:ascii="Times New Roman" w:hAnsi="Times New Roman" w:cs="Times New Roman"/>
          <w:b/>
          <w:color w:val="000000" w:themeColor="text1"/>
          <w:sz w:val="24"/>
          <w:szCs w:val="24"/>
        </w:rPr>
      </w:pPr>
    </w:p>
    <w:p w14:paraId="79E66554" w14:textId="77777777" w:rsidR="00B43458" w:rsidRDefault="00B43458" w:rsidP="00B04292">
      <w:pPr>
        <w:spacing w:after="0" w:line="240" w:lineRule="auto"/>
        <w:rPr>
          <w:rFonts w:ascii="Times New Roman" w:hAnsi="Times New Roman" w:cs="Times New Roman"/>
          <w:b/>
          <w:color w:val="000000" w:themeColor="text1"/>
          <w:sz w:val="24"/>
          <w:szCs w:val="24"/>
        </w:rPr>
      </w:pPr>
    </w:p>
    <w:p w14:paraId="7895EC73" w14:textId="77777777" w:rsidR="00B43458" w:rsidRPr="00D16C29" w:rsidRDefault="00B43458" w:rsidP="00B04292">
      <w:pPr>
        <w:spacing w:after="0" w:line="240" w:lineRule="auto"/>
        <w:rPr>
          <w:rFonts w:ascii="Times New Roman" w:hAnsi="Times New Roman" w:cs="Times New Roman"/>
          <w:b/>
          <w:color w:val="000000" w:themeColor="text1"/>
          <w:sz w:val="24"/>
          <w:szCs w:val="24"/>
        </w:rPr>
      </w:pPr>
    </w:p>
    <w:p w14:paraId="7F293D3C" w14:textId="272967D5" w:rsidR="00705049" w:rsidRPr="00D16C29" w:rsidRDefault="00000000" w:rsidP="004050F6">
      <w:pPr>
        <w:spacing w:line="240" w:lineRule="auto"/>
        <w:rPr>
          <w:rFonts w:ascii="Times New Roman" w:hAnsi="Times New Roman" w:cs="Times New Roman"/>
          <w:color w:val="000000" w:themeColor="text1"/>
          <w:sz w:val="24"/>
          <w:szCs w:val="24"/>
        </w:rPr>
      </w:pPr>
      <w:r w:rsidRPr="00D16C29">
        <w:rPr>
          <w:rFonts w:ascii="Times New Roman" w:hAnsi="Times New Roman" w:cs="Times New Roman"/>
          <w:b/>
          <w:color w:val="000000" w:themeColor="text1"/>
          <w:sz w:val="24"/>
          <w:szCs w:val="24"/>
        </w:rPr>
        <w:lastRenderedPageBreak/>
        <w:t>The Board’s reasoning is as follows:</w:t>
      </w:r>
      <w:r w:rsidRPr="00D16C29">
        <w:rPr>
          <w:rFonts w:ascii="Times New Roman" w:hAnsi="Times New Roman" w:cs="Times New Roman"/>
          <w:color w:val="000000" w:themeColor="text1"/>
          <w:sz w:val="24"/>
          <w:szCs w:val="24"/>
        </w:rPr>
        <w:t xml:space="preserve"> </w:t>
      </w:r>
      <w:r w:rsidR="00B04292" w:rsidRPr="00D16C29">
        <w:rPr>
          <w:rFonts w:ascii="Times New Roman" w:hAnsi="Times New Roman" w:cs="Times New Roman"/>
          <w:color w:val="000000" w:themeColor="text1"/>
          <w:sz w:val="24"/>
          <w:szCs w:val="24"/>
        </w:rPr>
        <w:t xml:space="preserve">  </w:t>
      </w:r>
      <w:r w:rsidR="009138E4" w:rsidRPr="00D16C29">
        <w:rPr>
          <w:rFonts w:ascii="Times New Roman" w:hAnsi="Times New Roman" w:cs="Times New Roman"/>
          <w:color w:val="000000" w:themeColor="text1"/>
          <w:sz w:val="24"/>
          <w:szCs w:val="24"/>
        </w:rPr>
        <w:t xml:space="preserve">  </w:t>
      </w:r>
    </w:p>
    <w:p w14:paraId="6E7FA65A" w14:textId="77777777" w:rsidR="00FB3175" w:rsidRPr="00FB3175" w:rsidRDefault="00FB3175" w:rsidP="00FB3175">
      <w:pPr>
        <w:spacing w:line="240" w:lineRule="auto"/>
        <w:rPr>
          <w:rFonts w:ascii="Times New Roman" w:hAnsi="Times New Roman" w:cs="Times New Roman"/>
          <w:color w:val="000000" w:themeColor="text1"/>
          <w:sz w:val="24"/>
          <w:szCs w:val="24"/>
        </w:rPr>
      </w:pPr>
      <w:r w:rsidRPr="00FB3175">
        <w:rPr>
          <w:rFonts w:ascii="Times New Roman" w:hAnsi="Times New Roman" w:cs="Times New Roman"/>
          <w:color w:val="000000" w:themeColor="text1"/>
          <w:sz w:val="24"/>
          <w:szCs w:val="24"/>
        </w:rPr>
        <w:t>The Board of Abatement reviewed Mr. Benoit’s testimony, written materials, and accompanying documentation in advance of and during the hearing.</w:t>
      </w:r>
    </w:p>
    <w:p w14:paraId="321DAA75" w14:textId="77777777" w:rsidR="00FB3175" w:rsidRPr="00FB3175" w:rsidRDefault="00FB3175" w:rsidP="00FB3175">
      <w:pPr>
        <w:spacing w:line="240" w:lineRule="auto"/>
        <w:rPr>
          <w:rFonts w:ascii="Times New Roman" w:hAnsi="Times New Roman" w:cs="Times New Roman"/>
          <w:color w:val="000000" w:themeColor="text1"/>
          <w:sz w:val="24"/>
          <w:szCs w:val="24"/>
        </w:rPr>
      </w:pPr>
      <w:r w:rsidRPr="00FB3175">
        <w:rPr>
          <w:rFonts w:ascii="Times New Roman" w:hAnsi="Times New Roman" w:cs="Times New Roman"/>
          <w:color w:val="000000" w:themeColor="text1"/>
          <w:sz w:val="24"/>
          <w:szCs w:val="24"/>
        </w:rPr>
        <w:t>The Board acknowledges the effort and level of detail Mr. Benoit provided in presenting his case.  However, upon review, the Board finds that the concerns raised relate to alleged listing errors that could have been addressed through the annual grievance process as set forth in 32 V.S.A. § 4111–4469, which provides taxpayers the statutory mechanism to contest or correct assessments prior to the finalization of the Grand List.  </w:t>
      </w:r>
      <w:proofErr w:type="gramStart"/>
      <w:r w:rsidRPr="00FB3175">
        <w:rPr>
          <w:rFonts w:ascii="Times New Roman" w:hAnsi="Times New Roman" w:cs="Times New Roman"/>
          <w:color w:val="000000" w:themeColor="text1"/>
          <w:sz w:val="24"/>
          <w:szCs w:val="24"/>
        </w:rPr>
        <w:t>The statutory</w:t>
      </w:r>
      <w:proofErr w:type="gramEnd"/>
      <w:r w:rsidRPr="00FB3175">
        <w:rPr>
          <w:rFonts w:ascii="Times New Roman" w:hAnsi="Times New Roman" w:cs="Times New Roman"/>
          <w:color w:val="000000" w:themeColor="text1"/>
          <w:sz w:val="24"/>
          <w:szCs w:val="24"/>
        </w:rPr>
        <w:t xml:space="preserve"> deadlines for filing such grievances have passed for the tax years in question.</w:t>
      </w:r>
    </w:p>
    <w:p w14:paraId="37211A4E" w14:textId="77777777" w:rsidR="00FB3175" w:rsidRPr="00FB3175" w:rsidRDefault="00FB3175" w:rsidP="00FB3175">
      <w:pPr>
        <w:spacing w:line="240" w:lineRule="auto"/>
        <w:rPr>
          <w:rFonts w:ascii="Times New Roman" w:hAnsi="Times New Roman" w:cs="Times New Roman"/>
          <w:color w:val="000000" w:themeColor="text1"/>
          <w:sz w:val="24"/>
          <w:szCs w:val="24"/>
        </w:rPr>
      </w:pPr>
      <w:r w:rsidRPr="00FB3175">
        <w:rPr>
          <w:rFonts w:ascii="Times New Roman" w:hAnsi="Times New Roman" w:cs="Times New Roman"/>
          <w:color w:val="000000" w:themeColor="text1"/>
          <w:sz w:val="24"/>
          <w:szCs w:val="24"/>
        </w:rPr>
        <w:t>The Board further finds that, without inspection of the property, there was no reasonable means by which the listers could have observed or identified the alleged errors.  As defined in 24 V.S.A § 1535(a)(4), a manifest error means an indisputable, clerical, or mathematical mistake apparent on the face of the record, not one requiring judgment or property inspection.  The Board notes that the conditions described by Mr. Benoit were not visible from the public way, and as such, no manifest or clerical error was apparent in the Grand List at the time of lodging.  </w:t>
      </w:r>
    </w:p>
    <w:p w14:paraId="34CD8FF9" w14:textId="2B7D2E10" w:rsidR="00D16C29" w:rsidRPr="00D16C29" w:rsidRDefault="00FB3175" w:rsidP="00FB3175">
      <w:pPr>
        <w:spacing w:line="240" w:lineRule="auto"/>
        <w:rPr>
          <w:rFonts w:ascii="Times New Roman" w:hAnsi="Times New Roman" w:cs="Times New Roman"/>
          <w:b/>
          <w:bCs/>
          <w:color w:val="000000" w:themeColor="text1"/>
          <w:sz w:val="2"/>
          <w:szCs w:val="2"/>
        </w:rPr>
      </w:pPr>
      <w:r w:rsidRPr="00D16C29">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469C9BD6" wp14:editId="692A0455">
                <wp:simplePos x="0" y="0"/>
                <wp:positionH relativeFrom="column">
                  <wp:posOffset>-57150</wp:posOffset>
                </wp:positionH>
                <wp:positionV relativeFrom="paragraph">
                  <wp:posOffset>1305560</wp:posOffset>
                </wp:positionV>
                <wp:extent cx="6381750" cy="0"/>
                <wp:effectExtent l="0" t="0" r="0" b="0"/>
                <wp:wrapNone/>
                <wp:docPr id="1291274638" name="Straight Connector 3"/>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BA4E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02.8pt" to="498pt,1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" strokecolor="black [3200]" strokeweight=".5pt">
                <v:stroke joinstyle="miter"/>
              </v:line>
            </w:pict>
          </mc:Fallback>
        </mc:AlternateContent>
      </w:r>
      <w:r w:rsidRPr="00FB3175">
        <w:rPr>
          <w:rFonts w:ascii="Times New Roman" w:hAnsi="Times New Roman" w:cs="Times New Roman"/>
          <w:color w:val="000000" w:themeColor="text1"/>
          <w:sz w:val="24"/>
          <w:szCs w:val="24"/>
        </w:rPr>
        <w:t xml:space="preserve">The Board considers its duty and long-standing practice, as set forth in guidance from the Vermont League of Cities and Towns and the Vermont Superior Court, to uphold the distinction between the abatement process and the tax assessment grievance process.  While the abatement statute, 24 V.S.A. </w:t>
      </w:r>
      <w:r>
        <w:rPr>
          <w:rFonts w:ascii="Times New Roman" w:hAnsi="Times New Roman" w:cs="Times New Roman"/>
          <w:color w:val="000000" w:themeColor="text1"/>
          <w:sz w:val="24"/>
          <w:szCs w:val="24"/>
        </w:rPr>
        <w:t xml:space="preserve">    </w:t>
      </w:r>
      <w:r w:rsidRPr="00FB3175">
        <w:rPr>
          <w:rFonts w:ascii="Times New Roman" w:hAnsi="Times New Roman" w:cs="Times New Roman"/>
          <w:color w:val="000000" w:themeColor="text1"/>
          <w:sz w:val="24"/>
          <w:szCs w:val="24"/>
        </w:rPr>
        <w:t>§ 1535, grants the Board discretionary authority to relieve taxpayers in certain circumstances, that discretion is not intended to replace or reopen the formal grievance and appeal process. After thorough consideration, the Board concludes that no manifest error exists in the Grand List or tax records for the years in question.  Furthermore, the circumstances presented do not warrant discretionary abatement.</w:t>
      </w:r>
    </w:p>
    <w:p w14:paraId="7F3A9856" w14:textId="7BD7511F" w:rsidR="00D16C29" w:rsidRPr="00D16C29" w:rsidRDefault="00D16C29" w:rsidP="00304E77">
      <w:pPr>
        <w:spacing w:line="240" w:lineRule="auto"/>
        <w:rPr>
          <w:rFonts w:ascii="Times New Roman" w:hAnsi="Times New Roman" w:cs="Times New Roman"/>
          <w:b/>
          <w:bCs/>
          <w:i/>
          <w:iCs/>
          <w:color w:val="000000" w:themeColor="text1"/>
          <w:sz w:val="18"/>
          <w:szCs w:val="18"/>
        </w:rPr>
      </w:pPr>
      <w:r w:rsidRPr="00D16C29">
        <w:rPr>
          <w:rFonts w:ascii="Times New Roman" w:hAnsi="Times New Roman" w:cs="Times New Roman"/>
          <w:b/>
          <w:bCs/>
          <w:color w:val="000000" w:themeColor="text1"/>
          <w:sz w:val="24"/>
          <w:szCs w:val="24"/>
        </w:rPr>
        <w:t xml:space="preserve">NEXT STEPS – </w:t>
      </w:r>
      <w:r>
        <w:rPr>
          <w:rFonts w:ascii="Times New Roman" w:hAnsi="Times New Roman" w:cs="Times New Roman"/>
          <w:b/>
          <w:bCs/>
          <w:i/>
          <w:iCs/>
          <w:color w:val="000000" w:themeColor="text1"/>
          <w:sz w:val="18"/>
          <w:szCs w:val="18"/>
        </w:rPr>
        <w:t>Appeal</w:t>
      </w:r>
      <w:r w:rsidRPr="00D16C29">
        <w:rPr>
          <w:rFonts w:ascii="Times New Roman" w:hAnsi="Times New Roman" w:cs="Times New Roman"/>
          <w:b/>
          <w:bCs/>
          <w:i/>
          <w:iCs/>
          <w:color w:val="000000" w:themeColor="text1"/>
          <w:sz w:val="18"/>
          <w:szCs w:val="18"/>
        </w:rPr>
        <w:t xml:space="preserve"> of Property Tax Assessment</w:t>
      </w:r>
    </w:p>
    <w:p w14:paraId="3B93D317" w14:textId="77777777" w:rsidR="00D16C29" w:rsidRPr="00D16C29" w:rsidRDefault="00D16C29" w:rsidP="00D16C29">
      <w:p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While the Board of Abatement has denied this request, the Board wishes to note that property owners retain the right to challenge future assessments through the annual grievance process.</w:t>
      </w:r>
    </w:p>
    <w:p w14:paraId="3115F72B" w14:textId="222F5AA7" w:rsidR="00D16C29" w:rsidRPr="00D16C29" w:rsidRDefault="00D16C29" w:rsidP="00D16C29">
      <w:pPr>
        <w:numPr>
          <w:ilvl w:val="0"/>
          <w:numId w:val="3"/>
        </w:num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Each year, the Board of Listers lodges the Abstract Grand List by June 4, after which taxpayers have at least 14 days to file a grievance under 32 V.S.A. § 4111.</w:t>
      </w:r>
      <w:r w:rsidR="00B43458">
        <w:rPr>
          <w:rFonts w:ascii="Times New Roman" w:hAnsi="Times New Roman" w:cs="Times New Roman"/>
          <w:color w:val="000000" w:themeColor="text1"/>
          <w:sz w:val="24"/>
          <w:szCs w:val="24"/>
        </w:rPr>
        <w:t xml:space="preserve">  </w:t>
      </w:r>
    </w:p>
    <w:p w14:paraId="32B7EFFC" w14:textId="77777777" w:rsidR="00D16C29" w:rsidRPr="00D16C29" w:rsidRDefault="00D16C29" w:rsidP="00D16C29">
      <w:pPr>
        <w:numPr>
          <w:ilvl w:val="0"/>
          <w:numId w:val="3"/>
        </w:num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During this period, property owners may request a property inspection and provide documentation supporting any claimed errors or discrepancies.</w:t>
      </w:r>
    </w:p>
    <w:p w14:paraId="557E5556" w14:textId="77777777" w:rsidR="00D16C29" w:rsidRPr="00D16C29" w:rsidRDefault="00D16C29" w:rsidP="00D16C29">
      <w:pPr>
        <w:numPr>
          <w:ilvl w:val="0"/>
          <w:numId w:val="3"/>
        </w:num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Following the grievance hearing, if a property owner disagrees with the Listers’ decision, an appeal may be made to the Board of Civil Authority (BCA) as provided under 32 V.S.A. § 4404.</w:t>
      </w:r>
    </w:p>
    <w:p w14:paraId="6A9CA652" w14:textId="77777777" w:rsidR="00D16C29" w:rsidRPr="00D16C29" w:rsidRDefault="00D16C29" w:rsidP="00D16C29">
      <w:p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Participation in the grievance process ensures that alleged listing or valuation errors can be reviewed and corrected in a timely and proper manner.</w:t>
      </w:r>
    </w:p>
    <w:p w14:paraId="64CC27FF" w14:textId="79C7D461" w:rsidR="00D16C29" w:rsidRPr="00D16C29" w:rsidRDefault="00D16C29" w:rsidP="00D16C29">
      <w:pPr>
        <w:spacing w:line="240" w:lineRule="auto"/>
        <w:rPr>
          <w:rFonts w:ascii="Times New Roman" w:hAnsi="Times New Roman" w:cs="Times New Roman"/>
          <w:b/>
          <w:bCs/>
          <w:i/>
          <w:iCs/>
          <w:color w:val="000000" w:themeColor="text1"/>
          <w:sz w:val="18"/>
          <w:szCs w:val="18"/>
        </w:rPr>
      </w:pPr>
      <w:r w:rsidRPr="00D16C29">
        <w:rPr>
          <w:rFonts w:ascii="Times New Roman" w:hAnsi="Times New Roman" w:cs="Times New Roman"/>
          <w:b/>
          <w:bCs/>
          <w:color w:val="000000" w:themeColor="text1"/>
          <w:sz w:val="24"/>
          <w:szCs w:val="24"/>
        </w:rPr>
        <w:t xml:space="preserve">NEXT STEPS – </w:t>
      </w:r>
      <w:r w:rsidRPr="00D16C29">
        <w:rPr>
          <w:rFonts w:ascii="Times New Roman" w:hAnsi="Times New Roman" w:cs="Times New Roman"/>
          <w:b/>
          <w:bCs/>
          <w:i/>
          <w:iCs/>
          <w:color w:val="000000" w:themeColor="text1"/>
          <w:sz w:val="18"/>
          <w:szCs w:val="18"/>
        </w:rPr>
        <w:t>Appeal of Abatement Decision</w:t>
      </w:r>
    </w:p>
    <w:p w14:paraId="6E717F9B" w14:textId="77777777" w:rsidR="00D16C29" w:rsidRPr="00D16C29" w:rsidRDefault="00D16C29" w:rsidP="00D16C29">
      <w:p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The Board of Abatement’s decisions are final at the municipal level and are made at the sole discretion of the Board pursuant to 24 V.S.A. § 1535.</w:t>
      </w:r>
    </w:p>
    <w:p w14:paraId="198D8E5D" w14:textId="5F9A8D19" w:rsidR="00995226" w:rsidRPr="00D16C29" w:rsidRDefault="00D16C29" w:rsidP="004050F6">
      <w:pPr>
        <w:spacing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 xml:space="preserve">However, a taxpayer who believes the Board acted outside its authority or contrary to law may seek judicial review by filing an appeal with the Vermont Superior Court, Civil Division, in </w:t>
      </w:r>
      <w:r w:rsidR="00B43458">
        <w:rPr>
          <w:rFonts w:ascii="Times New Roman" w:hAnsi="Times New Roman" w:cs="Times New Roman"/>
          <w:color w:val="000000" w:themeColor="text1"/>
          <w:sz w:val="24"/>
          <w:szCs w:val="24"/>
        </w:rPr>
        <w:t xml:space="preserve">Essex </w:t>
      </w:r>
      <w:r w:rsidR="00B43458" w:rsidRPr="00D16C29">
        <w:rPr>
          <w:rFonts w:ascii="Times New Roman" w:hAnsi="Times New Roman" w:cs="Times New Roman"/>
          <w:color w:val="000000" w:themeColor="text1"/>
          <w:sz w:val="24"/>
          <w:szCs w:val="24"/>
        </w:rPr>
        <w:t>County</w:t>
      </w:r>
      <w:r w:rsidRPr="00D16C29">
        <w:rPr>
          <w:rFonts w:ascii="Times New Roman" w:hAnsi="Times New Roman" w:cs="Times New Roman"/>
          <w:color w:val="000000" w:themeColor="text1"/>
          <w:sz w:val="24"/>
          <w:szCs w:val="24"/>
        </w:rPr>
        <w:t xml:space="preserve"> where the property is located. Such appeal</w:t>
      </w:r>
      <w:r w:rsidR="00B43458">
        <w:rPr>
          <w:rFonts w:ascii="Times New Roman" w:hAnsi="Times New Roman" w:cs="Times New Roman"/>
          <w:color w:val="000000" w:themeColor="text1"/>
          <w:sz w:val="24"/>
          <w:szCs w:val="24"/>
        </w:rPr>
        <w:t>s</w:t>
      </w:r>
      <w:r w:rsidRPr="00D16C29">
        <w:rPr>
          <w:rFonts w:ascii="Times New Roman" w:hAnsi="Times New Roman" w:cs="Times New Roman"/>
          <w:color w:val="000000" w:themeColor="text1"/>
          <w:sz w:val="24"/>
          <w:szCs w:val="24"/>
        </w:rPr>
        <w:t xml:space="preserve"> must be filed within 30 days of the Board’s decision, in accordance with Rule 75 of the Vermont Rules of Civil Procedure.</w:t>
      </w:r>
    </w:p>
    <w:p w14:paraId="18F6AFAE" w14:textId="055A9AFD" w:rsidR="00B4370D" w:rsidRPr="00D16C29" w:rsidRDefault="00000000" w:rsidP="00624A3F">
      <w:pPr>
        <w:spacing w:line="360" w:lineRule="auto"/>
        <w:rPr>
          <w:rFonts w:ascii="Times New Roman" w:hAnsi="Times New Roman" w:cs="Times New Roman"/>
          <w:b/>
          <w:bCs/>
          <w:color w:val="000000" w:themeColor="text1"/>
          <w:sz w:val="24"/>
          <w:szCs w:val="24"/>
        </w:rPr>
      </w:pPr>
      <w:r w:rsidRPr="00D16C29">
        <w:rPr>
          <w:rFonts w:ascii="Times New Roman" w:hAnsi="Times New Roman" w:cs="Times New Roman"/>
          <w:b/>
          <w:bCs/>
          <w:color w:val="000000" w:themeColor="text1"/>
          <w:sz w:val="24"/>
          <w:szCs w:val="24"/>
        </w:rPr>
        <w:lastRenderedPageBreak/>
        <w:t>Signature:</w:t>
      </w:r>
    </w:p>
    <w:p w14:paraId="0E7D4A12" w14:textId="38BB03D1" w:rsidR="00995226" w:rsidRPr="00D16C29" w:rsidRDefault="00000000" w:rsidP="00624A3F">
      <w:pPr>
        <w:spacing w:line="360" w:lineRule="auto"/>
        <w:rPr>
          <w:rFonts w:ascii="Times New Roman" w:hAnsi="Times New Roman" w:cs="Times New Roman"/>
          <w:b/>
          <w:bCs/>
          <w:color w:val="000000" w:themeColor="text1"/>
          <w:sz w:val="24"/>
          <w:szCs w:val="24"/>
        </w:rPr>
      </w:pPr>
      <w:r w:rsidRPr="00D16C29">
        <w:rPr>
          <w:rFonts w:ascii="Times New Roman" w:hAnsi="Times New Roman" w:cs="Times New Roman"/>
          <w:b/>
          <w:bCs/>
          <w:color w:val="000000" w:themeColor="text1"/>
          <w:sz w:val="24"/>
          <w:szCs w:val="24"/>
        </w:rPr>
        <w:t xml:space="preserve">I hereby certify that </w:t>
      </w:r>
      <w:r w:rsidR="00BC3542">
        <w:rPr>
          <w:rFonts w:ascii="Times New Roman" w:hAnsi="Times New Roman" w:cs="Times New Roman"/>
          <w:b/>
          <w:bCs/>
          <w:color w:val="000000" w:themeColor="text1"/>
          <w:sz w:val="24"/>
          <w:szCs w:val="24"/>
        </w:rPr>
        <w:t>the foregoing three pages are</w:t>
      </w:r>
      <w:r w:rsidRPr="00D16C29">
        <w:rPr>
          <w:rFonts w:ascii="Times New Roman" w:hAnsi="Times New Roman" w:cs="Times New Roman"/>
          <w:b/>
          <w:bCs/>
          <w:color w:val="000000" w:themeColor="text1"/>
          <w:sz w:val="24"/>
          <w:szCs w:val="24"/>
        </w:rPr>
        <w:t xml:space="preserve"> a true record of the action taken by the Board of Abatement.</w:t>
      </w:r>
    </w:p>
    <w:p w14:paraId="778F5EB7" w14:textId="77777777" w:rsidR="00995226" w:rsidRPr="00D16C29" w:rsidRDefault="00000000" w:rsidP="00624A3F">
      <w:pPr>
        <w:spacing w:after="0" w:line="240" w:lineRule="auto"/>
        <w:rPr>
          <w:rFonts w:ascii="Times New Roman" w:hAnsi="Times New Roman" w:cs="Times New Roman"/>
          <w:b/>
          <w:bCs/>
          <w:color w:val="000000" w:themeColor="text1"/>
          <w:sz w:val="24"/>
          <w:szCs w:val="24"/>
        </w:rPr>
      </w:pPr>
      <w:r w:rsidRPr="00D16C29">
        <w:rPr>
          <w:rFonts w:ascii="Times New Roman" w:hAnsi="Times New Roman" w:cs="Times New Roman"/>
          <w:b/>
          <w:bCs/>
          <w:color w:val="000000" w:themeColor="text1"/>
          <w:sz w:val="24"/>
          <w:szCs w:val="24"/>
        </w:rPr>
        <w:t>_______________________________________</w:t>
      </w:r>
    </w:p>
    <w:p w14:paraId="44923866" w14:textId="77777777" w:rsidR="00B43458" w:rsidRDefault="00B43458" w:rsidP="00AC237B">
      <w:pPr>
        <w:spacing w:after="0" w:line="240" w:lineRule="auto"/>
        <w:rPr>
          <w:rFonts w:ascii="Times New Roman" w:hAnsi="Times New Roman" w:cs="Times New Roman"/>
          <w:color w:val="000000" w:themeColor="text1"/>
          <w:sz w:val="24"/>
          <w:szCs w:val="24"/>
        </w:rPr>
      </w:pPr>
    </w:p>
    <w:p w14:paraId="5ABA9FCB" w14:textId="4723D43E" w:rsidR="00D16C29" w:rsidRPr="00D16C29" w:rsidRDefault="00D16C29" w:rsidP="00AC237B">
      <w:pPr>
        <w:spacing w:after="0" w:line="240" w:lineRule="auto"/>
        <w:rPr>
          <w:rFonts w:ascii="Times New Roman" w:hAnsi="Times New Roman" w:cs="Times New Roman"/>
          <w:color w:val="000000" w:themeColor="text1"/>
          <w:sz w:val="24"/>
          <w:szCs w:val="24"/>
        </w:rPr>
      </w:pPr>
      <w:r w:rsidRPr="00D16C29">
        <w:rPr>
          <w:rFonts w:ascii="Times New Roman" w:hAnsi="Times New Roman" w:cs="Times New Roman"/>
          <w:color w:val="000000" w:themeColor="text1"/>
          <w:sz w:val="24"/>
          <w:szCs w:val="24"/>
        </w:rPr>
        <w:t>Dillon Begin Chair</w:t>
      </w:r>
    </w:p>
    <w:p w14:paraId="71105F40" w14:textId="716E571A" w:rsidR="00D16C29" w:rsidRDefault="00D16C29" w:rsidP="00AC237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Town of Canaan, VT</w:t>
      </w:r>
    </w:p>
    <w:p w14:paraId="46171078" w14:textId="71F22207" w:rsidR="00C035AE" w:rsidRPr="00D16C29" w:rsidRDefault="00000000" w:rsidP="00AC237B">
      <w:pPr>
        <w:spacing w:after="0" w:line="240" w:lineRule="auto"/>
        <w:rPr>
          <w:rFonts w:ascii="Times New Roman" w:hAnsi="Times New Roman" w:cs="Times New Roman"/>
          <w:bCs/>
          <w:color w:val="000000" w:themeColor="text1"/>
          <w:sz w:val="24"/>
          <w:szCs w:val="24"/>
        </w:rPr>
      </w:pPr>
      <w:r w:rsidRPr="00D16C29">
        <w:rPr>
          <w:rFonts w:ascii="Times New Roman" w:hAnsi="Times New Roman" w:cs="Times New Roman"/>
          <w:color w:val="000000" w:themeColor="text1"/>
          <w:sz w:val="24"/>
          <w:szCs w:val="24"/>
        </w:rPr>
        <w:t xml:space="preserve">Board </w:t>
      </w:r>
      <w:r w:rsidRPr="00D16C29">
        <w:rPr>
          <w:rFonts w:ascii="Times New Roman" w:hAnsi="Times New Roman" w:cs="Times New Roman"/>
          <w:bCs/>
          <w:color w:val="000000" w:themeColor="text1"/>
          <w:sz w:val="24"/>
          <w:szCs w:val="24"/>
        </w:rPr>
        <w:t>of Abatemen</w:t>
      </w:r>
      <w:r w:rsidR="00AC237B" w:rsidRPr="00D16C29">
        <w:rPr>
          <w:rFonts w:ascii="Times New Roman" w:hAnsi="Times New Roman" w:cs="Times New Roman"/>
          <w:bCs/>
          <w:color w:val="000000" w:themeColor="text1"/>
          <w:sz w:val="24"/>
          <w:szCs w:val="24"/>
        </w:rPr>
        <w:t>t</w:t>
      </w:r>
    </w:p>
    <w:p w14:paraId="37517F1A" w14:textId="77777777" w:rsidR="00705049" w:rsidRPr="00D16C29" w:rsidRDefault="00705049" w:rsidP="00AC237B">
      <w:pPr>
        <w:spacing w:after="0" w:line="240" w:lineRule="auto"/>
        <w:rPr>
          <w:rFonts w:ascii="Times New Roman" w:hAnsi="Times New Roman" w:cs="Times New Roman"/>
          <w:b/>
          <w:bCs/>
          <w:color w:val="000000" w:themeColor="text1"/>
          <w:sz w:val="24"/>
          <w:szCs w:val="24"/>
        </w:rPr>
      </w:pPr>
    </w:p>
    <w:sectPr w:rsidR="00705049" w:rsidRPr="00D16C29" w:rsidSect="00BC3542">
      <w:footerReference w:type="default" r:id="rId10"/>
      <w:headerReference w:type="first" r:id="rId11"/>
      <w:footerReference w:type="first" r:id="rId12"/>
      <w:pgSz w:w="12240" w:h="15840"/>
      <w:pgMar w:top="1170" w:right="1080" w:bottom="1440" w:left="1080" w:header="360" w:footer="1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93DF" w14:textId="77777777" w:rsidR="006D378C" w:rsidRDefault="006D378C">
      <w:pPr>
        <w:spacing w:after="0" w:line="240" w:lineRule="auto"/>
      </w:pPr>
      <w:r>
        <w:separator/>
      </w:r>
    </w:p>
  </w:endnote>
  <w:endnote w:type="continuationSeparator" w:id="0">
    <w:p w14:paraId="6F964BF9" w14:textId="77777777" w:rsidR="006D378C" w:rsidRDefault="006D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31830"/>
      <w:docPartObj>
        <w:docPartGallery w:val="Page Numbers (Bottom of Page)"/>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rPr>
          <w:id w:val="-782960857"/>
          <w:docPartObj>
            <w:docPartGallery w:val="Page Numbers (Top of Page)"/>
            <w:docPartUnique/>
          </w:docPartObj>
        </w:sdtPr>
        <w:sdtContent>
          <w:p w14:paraId="0723E226" w14:textId="77FB1805" w:rsidR="00BC3542" w:rsidRPr="00BC3542" w:rsidRDefault="00BC3542">
            <w:pPr>
              <w:pStyle w:val="Footer"/>
              <w:jc w:val="right"/>
              <w:rPr>
                <w:rFonts w:ascii="Times New Roman" w:hAnsi="Times New Roman" w:cs="Times New Roman"/>
                <w:sz w:val="24"/>
                <w:szCs w:val="24"/>
              </w:rPr>
            </w:pPr>
            <w:r w:rsidRPr="00BC3542">
              <w:rPr>
                <w:rFonts w:ascii="Times New Roman" w:hAnsi="Times New Roman" w:cs="Times New Roman"/>
                <w:sz w:val="24"/>
                <w:szCs w:val="24"/>
              </w:rPr>
              <w:t xml:space="preserve">Page </w:t>
            </w:r>
            <w:r w:rsidRPr="00BC3542">
              <w:rPr>
                <w:rFonts w:ascii="Times New Roman" w:hAnsi="Times New Roman" w:cs="Times New Roman"/>
                <w:b/>
                <w:bCs/>
                <w:sz w:val="24"/>
                <w:szCs w:val="24"/>
              </w:rPr>
              <w:fldChar w:fldCharType="begin"/>
            </w:r>
            <w:r w:rsidRPr="00BC3542">
              <w:rPr>
                <w:rFonts w:ascii="Times New Roman" w:hAnsi="Times New Roman" w:cs="Times New Roman"/>
                <w:b/>
                <w:bCs/>
                <w:sz w:val="24"/>
                <w:szCs w:val="24"/>
              </w:rPr>
              <w:instrText xml:space="preserve"> PAGE </w:instrText>
            </w:r>
            <w:r w:rsidRPr="00BC3542">
              <w:rPr>
                <w:rFonts w:ascii="Times New Roman" w:hAnsi="Times New Roman" w:cs="Times New Roman"/>
                <w:b/>
                <w:bCs/>
                <w:sz w:val="24"/>
                <w:szCs w:val="24"/>
              </w:rPr>
              <w:fldChar w:fldCharType="separate"/>
            </w:r>
            <w:r w:rsidRPr="00BC3542">
              <w:rPr>
                <w:rFonts w:ascii="Times New Roman" w:hAnsi="Times New Roman" w:cs="Times New Roman"/>
                <w:b/>
                <w:bCs/>
                <w:noProof/>
                <w:sz w:val="24"/>
                <w:szCs w:val="24"/>
              </w:rPr>
              <w:t>2</w:t>
            </w:r>
            <w:r w:rsidRPr="00BC3542">
              <w:rPr>
                <w:rFonts w:ascii="Times New Roman" w:hAnsi="Times New Roman" w:cs="Times New Roman"/>
                <w:b/>
                <w:bCs/>
                <w:sz w:val="24"/>
                <w:szCs w:val="24"/>
              </w:rPr>
              <w:fldChar w:fldCharType="end"/>
            </w:r>
            <w:r w:rsidRPr="00BC3542">
              <w:rPr>
                <w:rFonts w:ascii="Times New Roman" w:hAnsi="Times New Roman" w:cs="Times New Roman"/>
                <w:sz w:val="24"/>
                <w:szCs w:val="24"/>
              </w:rPr>
              <w:t xml:space="preserve"> of </w:t>
            </w:r>
            <w:r w:rsidRPr="00BC3542">
              <w:rPr>
                <w:rFonts w:ascii="Times New Roman" w:hAnsi="Times New Roman" w:cs="Times New Roman"/>
                <w:b/>
                <w:bCs/>
                <w:sz w:val="24"/>
                <w:szCs w:val="24"/>
              </w:rPr>
              <w:fldChar w:fldCharType="begin"/>
            </w:r>
            <w:r w:rsidRPr="00BC3542">
              <w:rPr>
                <w:rFonts w:ascii="Times New Roman" w:hAnsi="Times New Roman" w:cs="Times New Roman"/>
                <w:b/>
                <w:bCs/>
                <w:sz w:val="24"/>
                <w:szCs w:val="24"/>
              </w:rPr>
              <w:instrText xml:space="preserve"> NUMPAGES  </w:instrText>
            </w:r>
            <w:r w:rsidRPr="00BC3542">
              <w:rPr>
                <w:rFonts w:ascii="Times New Roman" w:hAnsi="Times New Roman" w:cs="Times New Roman"/>
                <w:b/>
                <w:bCs/>
                <w:sz w:val="24"/>
                <w:szCs w:val="24"/>
              </w:rPr>
              <w:fldChar w:fldCharType="separate"/>
            </w:r>
            <w:r w:rsidRPr="00BC3542">
              <w:rPr>
                <w:rFonts w:ascii="Times New Roman" w:hAnsi="Times New Roman" w:cs="Times New Roman"/>
                <w:b/>
                <w:bCs/>
                <w:noProof/>
                <w:sz w:val="24"/>
                <w:szCs w:val="24"/>
              </w:rPr>
              <w:t>2</w:t>
            </w:r>
            <w:r w:rsidRPr="00BC3542">
              <w:rPr>
                <w:rFonts w:ascii="Times New Roman" w:hAnsi="Times New Roman" w:cs="Times New Roman"/>
                <w:b/>
                <w:bCs/>
                <w:sz w:val="24"/>
                <w:szCs w:val="24"/>
              </w:rPr>
              <w:fldChar w:fldCharType="end"/>
            </w:r>
          </w:p>
        </w:sdtContent>
      </w:sdt>
    </w:sdtContent>
  </w:sdt>
  <w:p w14:paraId="1E31698B" w14:textId="77777777" w:rsidR="00BC3542" w:rsidRDefault="00BC35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44343"/>
      <w:docPartObj>
        <w:docPartGallery w:val="Page Numbers (Bottom of Page)"/>
        <w:docPartUnique/>
      </w:docPartObj>
    </w:sdtPr>
    <w:sdtContent>
      <w:sdt>
        <w:sdtPr>
          <w:id w:val="-1769616900"/>
          <w:docPartObj>
            <w:docPartGallery w:val="Page Numbers (Top of Page)"/>
            <w:docPartUnique/>
          </w:docPartObj>
        </w:sdtPr>
        <w:sdtContent>
          <w:p w14:paraId="0EEC796C" w14:textId="7B34BA0B" w:rsidR="00BC3542" w:rsidRDefault="00BC3542">
            <w:pPr>
              <w:pStyle w:val="Footer"/>
              <w:jc w:val="right"/>
            </w:pPr>
            <w:r w:rsidRPr="00BC3542">
              <w:rPr>
                <w:rFonts w:ascii="Times New Roman" w:hAnsi="Times New Roman" w:cs="Times New Roman"/>
                <w:sz w:val="24"/>
                <w:szCs w:val="24"/>
              </w:rPr>
              <w:t xml:space="preserve">Page </w:t>
            </w:r>
            <w:r w:rsidRPr="00BC3542">
              <w:rPr>
                <w:rFonts w:ascii="Times New Roman" w:hAnsi="Times New Roman" w:cs="Times New Roman"/>
                <w:b/>
                <w:bCs/>
                <w:sz w:val="24"/>
                <w:szCs w:val="24"/>
              </w:rPr>
              <w:fldChar w:fldCharType="begin"/>
            </w:r>
            <w:r w:rsidRPr="00BC3542">
              <w:rPr>
                <w:rFonts w:ascii="Times New Roman" w:hAnsi="Times New Roman" w:cs="Times New Roman"/>
                <w:b/>
                <w:bCs/>
                <w:sz w:val="24"/>
                <w:szCs w:val="24"/>
              </w:rPr>
              <w:instrText xml:space="preserve"> PAGE </w:instrText>
            </w:r>
            <w:r w:rsidRPr="00BC3542">
              <w:rPr>
                <w:rFonts w:ascii="Times New Roman" w:hAnsi="Times New Roman" w:cs="Times New Roman"/>
                <w:b/>
                <w:bCs/>
                <w:sz w:val="24"/>
                <w:szCs w:val="24"/>
              </w:rPr>
              <w:fldChar w:fldCharType="separate"/>
            </w:r>
            <w:r w:rsidRPr="00BC3542">
              <w:rPr>
                <w:rFonts w:ascii="Times New Roman" w:hAnsi="Times New Roman" w:cs="Times New Roman"/>
                <w:b/>
                <w:bCs/>
                <w:noProof/>
                <w:sz w:val="24"/>
                <w:szCs w:val="24"/>
              </w:rPr>
              <w:t>2</w:t>
            </w:r>
            <w:r w:rsidRPr="00BC3542">
              <w:rPr>
                <w:rFonts w:ascii="Times New Roman" w:hAnsi="Times New Roman" w:cs="Times New Roman"/>
                <w:b/>
                <w:bCs/>
                <w:sz w:val="24"/>
                <w:szCs w:val="24"/>
              </w:rPr>
              <w:fldChar w:fldCharType="end"/>
            </w:r>
            <w:r w:rsidRPr="00BC3542">
              <w:rPr>
                <w:rFonts w:ascii="Times New Roman" w:hAnsi="Times New Roman" w:cs="Times New Roman"/>
                <w:sz w:val="24"/>
                <w:szCs w:val="24"/>
              </w:rPr>
              <w:t xml:space="preserve"> of </w:t>
            </w:r>
            <w:r w:rsidRPr="00BC3542">
              <w:rPr>
                <w:rFonts w:ascii="Times New Roman" w:hAnsi="Times New Roman" w:cs="Times New Roman"/>
                <w:b/>
                <w:bCs/>
                <w:sz w:val="24"/>
                <w:szCs w:val="24"/>
              </w:rPr>
              <w:fldChar w:fldCharType="begin"/>
            </w:r>
            <w:r w:rsidRPr="00BC3542">
              <w:rPr>
                <w:rFonts w:ascii="Times New Roman" w:hAnsi="Times New Roman" w:cs="Times New Roman"/>
                <w:b/>
                <w:bCs/>
                <w:sz w:val="24"/>
                <w:szCs w:val="24"/>
              </w:rPr>
              <w:instrText xml:space="preserve"> NUMPAGES  </w:instrText>
            </w:r>
            <w:r w:rsidRPr="00BC3542">
              <w:rPr>
                <w:rFonts w:ascii="Times New Roman" w:hAnsi="Times New Roman" w:cs="Times New Roman"/>
                <w:b/>
                <w:bCs/>
                <w:sz w:val="24"/>
                <w:szCs w:val="24"/>
              </w:rPr>
              <w:fldChar w:fldCharType="separate"/>
            </w:r>
            <w:r w:rsidRPr="00BC3542">
              <w:rPr>
                <w:rFonts w:ascii="Times New Roman" w:hAnsi="Times New Roman" w:cs="Times New Roman"/>
                <w:b/>
                <w:bCs/>
                <w:noProof/>
                <w:sz w:val="24"/>
                <w:szCs w:val="24"/>
              </w:rPr>
              <w:t>2</w:t>
            </w:r>
            <w:r w:rsidRPr="00BC3542">
              <w:rPr>
                <w:rFonts w:ascii="Times New Roman" w:hAnsi="Times New Roman" w:cs="Times New Roman"/>
                <w:b/>
                <w:bCs/>
                <w:sz w:val="24"/>
                <w:szCs w:val="24"/>
              </w:rPr>
              <w:fldChar w:fldCharType="end"/>
            </w:r>
          </w:p>
        </w:sdtContent>
      </w:sdt>
    </w:sdtContent>
  </w:sdt>
  <w:p w14:paraId="78F0A1CE" w14:textId="77777777" w:rsidR="00BC3542" w:rsidRDefault="00BC3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FD0BA" w14:textId="77777777" w:rsidR="006D378C" w:rsidRDefault="006D378C">
      <w:pPr>
        <w:spacing w:after="0" w:line="240" w:lineRule="auto"/>
      </w:pPr>
      <w:r>
        <w:separator/>
      </w:r>
    </w:p>
  </w:footnote>
  <w:footnote w:type="continuationSeparator" w:id="0">
    <w:p w14:paraId="73DCFAE8" w14:textId="77777777" w:rsidR="006D378C" w:rsidRDefault="006D3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2C3C" w14:textId="33027801" w:rsidR="00D16C29" w:rsidRPr="00D16C29" w:rsidRDefault="00000000" w:rsidP="00B04292">
    <w:pPr>
      <w:pBdr>
        <w:bottom w:val="single" w:sz="12" w:space="1" w:color="auto"/>
      </w:pBdr>
      <w:spacing w:after="0" w:line="240" w:lineRule="auto"/>
      <w:jc w:val="center"/>
      <w:rPr>
        <w:rFonts w:ascii="Times New Roman" w:hAnsi="Times New Roman" w:cs="Times New Roman"/>
        <w:b/>
        <w:bCs/>
        <w:sz w:val="28"/>
        <w:szCs w:val="28"/>
      </w:rPr>
    </w:pPr>
    <w:r w:rsidRPr="00D16C29">
      <w:rPr>
        <w:rFonts w:ascii="Times New Roman" w:hAnsi="Times New Roman" w:cs="Times New Roman"/>
        <w:b/>
        <w:bCs/>
        <w:sz w:val="28"/>
        <w:szCs w:val="28"/>
      </w:rPr>
      <w:t>TOWN OF CANAAN</w:t>
    </w:r>
    <w:r w:rsidR="00B43458">
      <w:rPr>
        <w:rFonts w:ascii="Times New Roman" w:hAnsi="Times New Roman" w:cs="Times New Roman"/>
        <w:b/>
        <w:bCs/>
        <w:sz w:val="28"/>
        <w:szCs w:val="28"/>
      </w:rPr>
      <w:t>, VT</w:t>
    </w:r>
  </w:p>
  <w:p w14:paraId="7D2EE30E" w14:textId="52891CEA" w:rsidR="00B04292" w:rsidRPr="00D16C29" w:rsidRDefault="00000000" w:rsidP="00B04292">
    <w:pPr>
      <w:pBdr>
        <w:bottom w:val="single" w:sz="12" w:space="1" w:color="auto"/>
      </w:pBdr>
      <w:spacing w:after="0" w:line="240" w:lineRule="auto"/>
      <w:jc w:val="center"/>
      <w:rPr>
        <w:rFonts w:ascii="Times New Roman" w:hAnsi="Times New Roman" w:cs="Times New Roman"/>
        <w:b/>
        <w:bCs/>
        <w:sz w:val="28"/>
        <w:szCs w:val="28"/>
      </w:rPr>
    </w:pPr>
    <w:r w:rsidRPr="00D16C29">
      <w:rPr>
        <w:rFonts w:ascii="Times New Roman" w:hAnsi="Times New Roman" w:cs="Times New Roman"/>
        <w:b/>
        <w:bCs/>
        <w:sz w:val="28"/>
        <w:szCs w:val="28"/>
      </w:rPr>
      <w:t>BOARD OF ABATEMENT</w:t>
    </w:r>
  </w:p>
  <w:p w14:paraId="0AC97CBC" w14:textId="77777777" w:rsidR="00B04292" w:rsidRDefault="00000000" w:rsidP="00B04292">
    <w:pPr>
      <w:pBdr>
        <w:bottom w:val="single" w:sz="12" w:space="1" w:color="auto"/>
      </w:pBdr>
      <w:spacing w:after="0" w:line="240" w:lineRule="auto"/>
      <w:jc w:val="center"/>
      <w:rPr>
        <w:rFonts w:ascii="Times New Roman" w:hAnsi="Times New Roman" w:cs="Times New Roman"/>
        <w:b/>
        <w:bCs/>
        <w:sz w:val="28"/>
        <w:szCs w:val="28"/>
      </w:rPr>
    </w:pPr>
    <w:r w:rsidRPr="00D16C29">
      <w:rPr>
        <w:rFonts w:ascii="Times New Roman" w:hAnsi="Times New Roman" w:cs="Times New Roman"/>
        <w:b/>
        <w:bCs/>
        <w:sz w:val="28"/>
        <w:szCs w:val="28"/>
      </w:rPr>
      <w:t xml:space="preserve">NOTICE OF DECISION </w:t>
    </w:r>
  </w:p>
  <w:p w14:paraId="5DEC327C" w14:textId="77777777" w:rsidR="00D16C29" w:rsidRPr="00D16C29" w:rsidRDefault="00D16C29" w:rsidP="00B04292">
    <w:pPr>
      <w:pBdr>
        <w:bottom w:val="single" w:sz="12" w:space="1" w:color="auto"/>
      </w:pBdr>
      <w:spacing w:after="0" w:line="240" w:lineRule="auto"/>
      <w:jc w:val="center"/>
      <w:rPr>
        <w:rFonts w:ascii="Times New Roman" w:hAnsi="Times New Roman" w:cs="Times New Roman"/>
        <w:b/>
        <w:bCs/>
        <w:sz w:val="8"/>
        <w:szCs w:val="8"/>
      </w:rPr>
    </w:pPr>
  </w:p>
  <w:p w14:paraId="53C6E2AC" w14:textId="77777777" w:rsidR="00B04292" w:rsidRPr="00D16C29" w:rsidRDefault="00B04292">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7105"/>
    <w:multiLevelType w:val="hybridMultilevel"/>
    <w:tmpl w:val="1460211C"/>
    <w:lvl w:ilvl="0" w:tplc="7E5055D2">
      <w:start w:val="1"/>
      <w:numFmt w:val="bullet"/>
      <w:lvlText w:val=""/>
      <w:lvlJc w:val="left"/>
      <w:pPr>
        <w:ind w:left="720" w:hanging="360"/>
      </w:pPr>
      <w:rPr>
        <w:rFonts w:ascii="Symbol" w:hAnsi="Symbol" w:hint="default"/>
      </w:rPr>
    </w:lvl>
    <w:lvl w:ilvl="1" w:tplc="E950279A" w:tentative="1">
      <w:start w:val="1"/>
      <w:numFmt w:val="bullet"/>
      <w:lvlText w:val="o"/>
      <w:lvlJc w:val="left"/>
      <w:pPr>
        <w:ind w:left="1440" w:hanging="360"/>
      </w:pPr>
      <w:rPr>
        <w:rFonts w:ascii="Courier New" w:hAnsi="Courier New" w:cs="Courier New" w:hint="default"/>
      </w:rPr>
    </w:lvl>
    <w:lvl w:ilvl="2" w:tplc="C15A410C" w:tentative="1">
      <w:start w:val="1"/>
      <w:numFmt w:val="bullet"/>
      <w:lvlText w:val=""/>
      <w:lvlJc w:val="left"/>
      <w:pPr>
        <w:ind w:left="2160" w:hanging="360"/>
      </w:pPr>
      <w:rPr>
        <w:rFonts w:ascii="Wingdings" w:hAnsi="Wingdings" w:hint="default"/>
      </w:rPr>
    </w:lvl>
    <w:lvl w:ilvl="3" w:tplc="B4186C04" w:tentative="1">
      <w:start w:val="1"/>
      <w:numFmt w:val="bullet"/>
      <w:lvlText w:val=""/>
      <w:lvlJc w:val="left"/>
      <w:pPr>
        <w:ind w:left="2880" w:hanging="360"/>
      </w:pPr>
      <w:rPr>
        <w:rFonts w:ascii="Symbol" w:hAnsi="Symbol" w:hint="default"/>
      </w:rPr>
    </w:lvl>
    <w:lvl w:ilvl="4" w:tplc="42FC2B96" w:tentative="1">
      <w:start w:val="1"/>
      <w:numFmt w:val="bullet"/>
      <w:lvlText w:val="o"/>
      <w:lvlJc w:val="left"/>
      <w:pPr>
        <w:ind w:left="3600" w:hanging="360"/>
      </w:pPr>
      <w:rPr>
        <w:rFonts w:ascii="Courier New" w:hAnsi="Courier New" w:cs="Courier New" w:hint="default"/>
      </w:rPr>
    </w:lvl>
    <w:lvl w:ilvl="5" w:tplc="95FEB636" w:tentative="1">
      <w:start w:val="1"/>
      <w:numFmt w:val="bullet"/>
      <w:lvlText w:val=""/>
      <w:lvlJc w:val="left"/>
      <w:pPr>
        <w:ind w:left="4320" w:hanging="360"/>
      </w:pPr>
      <w:rPr>
        <w:rFonts w:ascii="Wingdings" w:hAnsi="Wingdings" w:hint="default"/>
      </w:rPr>
    </w:lvl>
    <w:lvl w:ilvl="6" w:tplc="C39846CC" w:tentative="1">
      <w:start w:val="1"/>
      <w:numFmt w:val="bullet"/>
      <w:lvlText w:val=""/>
      <w:lvlJc w:val="left"/>
      <w:pPr>
        <w:ind w:left="5040" w:hanging="360"/>
      </w:pPr>
      <w:rPr>
        <w:rFonts w:ascii="Symbol" w:hAnsi="Symbol" w:hint="default"/>
      </w:rPr>
    </w:lvl>
    <w:lvl w:ilvl="7" w:tplc="862A9D0C" w:tentative="1">
      <w:start w:val="1"/>
      <w:numFmt w:val="bullet"/>
      <w:lvlText w:val="o"/>
      <w:lvlJc w:val="left"/>
      <w:pPr>
        <w:ind w:left="5760" w:hanging="360"/>
      </w:pPr>
      <w:rPr>
        <w:rFonts w:ascii="Courier New" w:hAnsi="Courier New" w:cs="Courier New" w:hint="default"/>
      </w:rPr>
    </w:lvl>
    <w:lvl w:ilvl="8" w:tplc="5CB88FE6" w:tentative="1">
      <w:start w:val="1"/>
      <w:numFmt w:val="bullet"/>
      <w:lvlText w:val=""/>
      <w:lvlJc w:val="left"/>
      <w:pPr>
        <w:ind w:left="6480" w:hanging="360"/>
      </w:pPr>
      <w:rPr>
        <w:rFonts w:ascii="Wingdings" w:hAnsi="Wingdings" w:hint="default"/>
      </w:rPr>
    </w:lvl>
  </w:abstractNum>
  <w:abstractNum w:abstractNumId="1" w15:restartNumberingAfterBreak="0">
    <w:nsid w:val="38F25A1A"/>
    <w:multiLevelType w:val="multilevel"/>
    <w:tmpl w:val="BC6C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C6A8E"/>
    <w:multiLevelType w:val="multilevel"/>
    <w:tmpl w:val="4C664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171609">
    <w:abstractNumId w:val="0"/>
  </w:num>
  <w:num w:numId="2" w16cid:durableId="2131584969">
    <w:abstractNumId w:val="2"/>
  </w:num>
  <w:num w:numId="3" w16cid:durableId="81444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26"/>
    <w:rsid w:val="00173501"/>
    <w:rsid w:val="002015DC"/>
    <w:rsid w:val="00212F42"/>
    <w:rsid w:val="00223F33"/>
    <w:rsid w:val="00241CE5"/>
    <w:rsid w:val="002662CC"/>
    <w:rsid w:val="00304E77"/>
    <w:rsid w:val="003100BA"/>
    <w:rsid w:val="00317FB0"/>
    <w:rsid w:val="004050F6"/>
    <w:rsid w:val="00534837"/>
    <w:rsid w:val="006042C4"/>
    <w:rsid w:val="00624A3F"/>
    <w:rsid w:val="0067273F"/>
    <w:rsid w:val="006D378C"/>
    <w:rsid w:val="00705049"/>
    <w:rsid w:val="00725E38"/>
    <w:rsid w:val="00741B32"/>
    <w:rsid w:val="0074762E"/>
    <w:rsid w:val="007840C7"/>
    <w:rsid w:val="00893F2D"/>
    <w:rsid w:val="008A5824"/>
    <w:rsid w:val="009138E4"/>
    <w:rsid w:val="00965702"/>
    <w:rsid w:val="00985C53"/>
    <w:rsid w:val="00992868"/>
    <w:rsid w:val="00995226"/>
    <w:rsid w:val="00A078EC"/>
    <w:rsid w:val="00AC237B"/>
    <w:rsid w:val="00AF6B46"/>
    <w:rsid w:val="00B04292"/>
    <w:rsid w:val="00B43458"/>
    <w:rsid w:val="00B4370D"/>
    <w:rsid w:val="00B54B8F"/>
    <w:rsid w:val="00BC3542"/>
    <w:rsid w:val="00C035AE"/>
    <w:rsid w:val="00D16C29"/>
    <w:rsid w:val="00E4273B"/>
    <w:rsid w:val="00E94070"/>
    <w:rsid w:val="00F03A47"/>
    <w:rsid w:val="00FB3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88E71"/>
  <w15:chartTrackingRefBased/>
  <w15:docId w15:val="{A77D0164-0216-47C2-B58B-124F80DF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226"/>
    <w:pPr>
      <w:spacing w:before="0" w:after="160" w:line="259" w:lineRule="auto"/>
    </w:pPr>
  </w:style>
  <w:style w:type="paragraph" w:styleId="Heading1">
    <w:name w:val="heading 1"/>
    <w:basedOn w:val="Normal"/>
    <w:next w:val="Normal"/>
    <w:link w:val="Heading1Char"/>
    <w:autoRedefine/>
    <w:uiPriority w:val="9"/>
    <w:qFormat/>
    <w:rsid w:val="00995226"/>
    <w:pPr>
      <w:widowControl w:val="0"/>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autoSpaceDE w:val="0"/>
      <w:autoSpaceDN w:val="0"/>
      <w:adjustRightInd w:val="0"/>
      <w:spacing w:after="0" w:line="240" w:lineRule="auto"/>
      <w:ind w:right="-180"/>
      <w:outlineLvl w:val="0"/>
    </w:pPr>
    <w:rPr>
      <w:b/>
      <w:caps/>
      <w:color w:val="FFFFFF" w:themeColor="background1"/>
      <w:spacing w:val="15"/>
      <w:sz w:val="36"/>
    </w:rPr>
  </w:style>
  <w:style w:type="paragraph" w:styleId="Heading2">
    <w:name w:val="heading 2"/>
    <w:basedOn w:val="Normal"/>
    <w:next w:val="Normal"/>
    <w:link w:val="Heading2Char"/>
    <w:autoRedefine/>
    <w:uiPriority w:val="9"/>
    <w:semiHidden/>
    <w:unhideWhenUsed/>
    <w:qFormat/>
    <w:rsid w:val="003100BA"/>
    <w:pPr>
      <w:keepNext/>
      <w:keepLines/>
      <w:spacing w:before="4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semiHidden/>
    <w:unhideWhenUsed/>
    <w:qFormat/>
    <w:rsid w:val="00D16C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226"/>
    <w:rPr>
      <w:rFonts w:ascii="Calibri" w:hAnsi="Calibri" w:cs="Courier"/>
      <w:b/>
      <w:caps/>
      <w:color w:val="FFFFFF" w:themeColor="background1"/>
      <w:spacing w:val="15"/>
      <w:sz w:val="36"/>
      <w:shd w:val="clear" w:color="auto" w:fill="1F3864" w:themeFill="accent1" w:themeFillShade="80"/>
    </w:rPr>
  </w:style>
  <w:style w:type="character" w:customStyle="1" w:styleId="Heading2Char">
    <w:name w:val="Heading 2 Char"/>
    <w:basedOn w:val="DefaultParagraphFont"/>
    <w:link w:val="Heading2"/>
    <w:uiPriority w:val="9"/>
    <w:semiHidden/>
    <w:rsid w:val="003100BA"/>
    <w:rPr>
      <w:rFonts w:asciiTheme="majorHAnsi" w:eastAsiaTheme="majorEastAsia" w:hAnsiTheme="majorHAnsi" w:cstheme="majorBidi"/>
      <w:b/>
      <w:sz w:val="26"/>
      <w:szCs w:val="26"/>
    </w:rPr>
  </w:style>
  <w:style w:type="paragraph" w:styleId="ListParagraph">
    <w:name w:val="List Paragraph"/>
    <w:basedOn w:val="Normal"/>
    <w:uiPriority w:val="34"/>
    <w:qFormat/>
    <w:rsid w:val="00624A3F"/>
    <w:pPr>
      <w:ind w:left="720"/>
      <w:contextualSpacing/>
    </w:pPr>
  </w:style>
  <w:style w:type="paragraph" w:styleId="Header">
    <w:name w:val="header"/>
    <w:basedOn w:val="Normal"/>
    <w:link w:val="HeaderChar"/>
    <w:uiPriority w:val="99"/>
    <w:unhideWhenUsed/>
    <w:rsid w:val="00B04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292"/>
  </w:style>
  <w:style w:type="paragraph" w:styleId="Footer">
    <w:name w:val="footer"/>
    <w:basedOn w:val="Normal"/>
    <w:link w:val="FooterChar"/>
    <w:uiPriority w:val="99"/>
    <w:unhideWhenUsed/>
    <w:rsid w:val="00B04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292"/>
  </w:style>
  <w:style w:type="character" w:customStyle="1" w:styleId="Heading3Char">
    <w:name w:val="Heading 3 Char"/>
    <w:basedOn w:val="DefaultParagraphFont"/>
    <w:link w:val="Heading3"/>
    <w:uiPriority w:val="9"/>
    <w:semiHidden/>
    <w:rsid w:val="00D16C2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235a09-a3f1-4938-ad83-43f9d05bbb65" xsi:nil="true"/>
    <Topic xmlns="c8ebd455-e078-4e4f-b790-9ac43492b097" xsi:nil="true"/>
    <lcf76f155ced4ddcb4097134ff3c332f xmlns="c8ebd455-e078-4e4f-b790-9ac43492b097">
      <Terms xmlns="http://schemas.microsoft.com/office/infopath/2007/PartnerControls"/>
    </lcf76f155ced4ddcb4097134ff3c332f>
    <OrgType xmlns="c8ebd455-e078-4e4f-b790-9ac43492b097" xsi:nil="true"/>
    <OrgName xmlns="c8ebd455-e078-4e4f-b790-9ac43492b0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E6E4749DD692458EB143ACDADB37C3" ma:contentTypeVersion="20" ma:contentTypeDescription="Create a new document." ma:contentTypeScope="" ma:versionID="2bc5e218a1925b600ea838ea22e2b45c">
  <xsd:schema xmlns:xsd="http://www.w3.org/2001/XMLSchema" xmlns:xs="http://www.w3.org/2001/XMLSchema" xmlns:p="http://schemas.microsoft.com/office/2006/metadata/properties" xmlns:ns2="c8ebd455-e078-4e4f-b790-9ac43492b097" xmlns:ns3="f9235a09-a3f1-4938-ad83-43f9d05bbb65" targetNamespace="http://schemas.microsoft.com/office/2006/metadata/properties" ma:root="true" ma:fieldsID="35ce80e458ac6a6d1301c41ada7ad1d5" ns2:_="" ns3:_="">
    <xsd:import namespace="c8ebd455-e078-4e4f-b790-9ac43492b097"/>
    <xsd:import namespace="f9235a09-a3f1-4938-ad83-43f9d05bbb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OrgType" minOccurs="0"/>
                <xsd:element ref="ns2:OrgName" minOccurs="0"/>
                <xsd:element ref="ns2:Topic"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455-e078-4e4f-b790-9ac43492b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description=""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OrgType" ma:index="19" nillable="true" ma:displayName="Org Type" ma:format="Dropdown" ma:internalName="OrgType">
      <xsd:simpleType>
        <xsd:union memberTypes="dms:Text">
          <xsd:simpleType>
            <xsd:restriction base="dms:Choice">
              <xsd:enumeration value="State"/>
              <xsd:enumeration value="Association"/>
              <xsd:enumeration value="Media"/>
              <xsd:enumeration value="Fed"/>
              <xsd:enumeration value="VT Leg"/>
              <xsd:enumeration value="Private"/>
              <xsd:enumeration value="Non-Profit"/>
              <xsd:enumeration value="Academic"/>
            </xsd:restriction>
          </xsd:simpleType>
        </xsd:union>
      </xsd:simpleType>
    </xsd:element>
    <xsd:element name="OrgName" ma:index="20" nillable="true" ma:displayName="Org Name" ma:format="Dropdown" ma:internalName="OrgName">
      <xsd:simpleType>
        <xsd:restriction base="dms:Text">
          <xsd:maxLength value="255"/>
        </xsd:restriction>
      </xsd:simpleType>
    </xsd:element>
    <xsd:element name="Topic" ma:index="21" nillable="true" ma:displayName="Topic" ma:format="Dropdown" ma:internalName="Topic">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35a09-a3f1-4938-ad83-43f9d05bbb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2db97a2-a269-48cb-b376-0faa0dc6bc3e}" ma:internalName="TaxCatchAll" ma:showField="CatchAllData" ma:web="f9235a09-a3f1-4938-ad83-43f9d05bbb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31A81-BEC9-4735-ADED-930E0550B884}">
  <ds:schemaRefs>
    <ds:schemaRef ds:uri="http://schemas.microsoft.com/office/2006/metadata/properties"/>
    <ds:schemaRef ds:uri="http://schemas.microsoft.com/office/infopath/2007/PartnerControls"/>
    <ds:schemaRef ds:uri="f9235a09-a3f1-4938-ad83-43f9d05bbb65"/>
    <ds:schemaRef ds:uri="c8ebd455-e078-4e4f-b790-9ac43492b097"/>
  </ds:schemaRefs>
</ds:datastoreItem>
</file>

<file path=customXml/itemProps2.xml><?xml version="1.0" encoding="utf-8"?>
<ds:datastoreItem xmlns:ds="http://schemas.openxmlformats.org/officeDocument/2006/customXml" ds:itemID="{766F47F0-258D-4AD3-B60C-851D20E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bd455-e078-4e4f-b790-9ac43492b097"/>
    <ds:schemaRef ds:uri="f9235a09-a3f1-4938-ad83-43f9d05bb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8DC3A-E2E1-4E28-974F-3E2D224F5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Law</dc:creator>
  <cp:lastModifiedBy>NOREEN LABRECQUE</cp:lastModifiedBy>
  <cp:revision>6</cp:revision>
  <cp:lastPrinted>2025-10-29T14:11:00Z</cp:lastPrinted>
  <dcterms:created xsi:type="dcterms:W3CDTF">2025-10-28T22:29:00Z</dcterms:created>
  <dcterms:modified xsi:type="dcterms:W3CDTF">2025-10-29T15:09:00Z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0x010100E7E6E4749DD692458EB143ACDADB37C3</vt:lpwstr>
  </property>
</Properties>
</file>